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27. května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23/1994 Sb.</w:t>
        </w:r>
      </w:hyperlink>
      <w:r>
        <w:rPr>
          <w:b/>
          <w:bCs/>
        </w:rPr>
        <w:t xml:space="preserve">, o jednacím řádu státního zastupitelství, zřízení poboček některých státních zastupitelství a podrobnostech o úkonech prováděných právními čekateli,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spravedlnosti stanoví podle </w:t>
      </w:r>
      <w:hyperlink r:id="rId8" w:history="1">
        <w:r>
          <w:rPr>
            <w:color w:val="darkblue"/>
            <w:u w:val="single"/>
          </w:rPr>
          <w:t xml:space="preserve">§ 40</w:t>
        </w:r>
      </w:hyperlink>
      <w:r>
        <w:rPr/>
        <w:t xml:space="preserve"> zákona č. </w:t>
      </w:r>
      <w:hyperlink r:id="rId9" w:history="1">
        <w:r>
          <w:rPr>
            <w:color w:val="darkblue"/>
            <w:u w:val="single"/>
          </w:rPr>
          <w:t xml:space="preserve">283/1993 Sb.</w:t>
        </w:r>
      </w:hyperlink>
      <w:r>
        <w:rPr/>
        <w:t xml:space="preserve">, o státním zastupitelství, ve znění zákona č. </w:t>
      </w:r>
      <w:hyperlink r:id="rId10" w:history="1">
        <w:r>
          <w:rPr>
            <w:color w:val="darkblue"/>
            <w:u w:val="single"/>
          </w:rPr>
          <w:t xml:space="preserve">14/2002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192/2003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79/2006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23/1994 Sb.</w:t>
        </w:r>
      </w:hyperlink>
      <w:r>
        <w:rPr/>
        <w:t xml:space="preserve">, o jednacím řádu státního zastupitelství, zřízení poboček některých státních zastupitelství a podrobnostech o úkonech prováděných právními čekateli, ve znění vyhlášky č. </w:t>
      </w:r>
      <w:hyperlink r:id="rId13" w:history="1">
        <w:r>
          <w:rPr>
            <w:color w:val="darkblue"/>
            <w:u w:val="single"/>
          </w:rPr>
          <w:t xml:space="preserve">265/1997 Sb.</w:t>
        </w:r>
      </w:hyperlink>
      <w:r>
        <w:rPr/>
        <w:t xml:space="preserve">, vyhlášky č. </w:t>
      </w:r>
      <w:hyperlink r:id="rId14" w:history="1">
        <w:r>
          <w:rPr>
            <w:color w:val="darkblue"/>
            <w:u w:val="single"/>
          </w:rPr>
          <w:t xml:space="preserve">218/1998 Sb.</w:t>
        </w:r>
      </w:hyperlink>
      <w:r>
        <w:rPr/>
        <w:t xml:space="preserve">, vyhlášky č. </w:t>
      </w:r>
      <w:hyperlink r:id="rId15" w:history="1">
        <w:r>
          <w:rPr>
            <w:color w:val="darkblue"/>
            <w:u w:val="single"/>
          </w:rPr>
          <w:t xml:space="preserve">311/2000 Sb.</w:t>
        </w:r>
      </w:hyperlink>
      <w:r>
        <w:rPr/>
        <w:t xml:space="preserve">, vyhlášky č. </w:t>
      </w:r>
      <w:hyperlink r:id="rId16" w:history="1">
        <w:r>
          <w:rPr>
            <w:color w:val="darkblue"/>
            <w:u w:val="single"/>
          </w:rPr>
          <w:t xml:space="preserve">183/2001 Sb.</w:t>
        </w:r>
      </w:hyperlink>
      <w:r>
        <w:rPr/>
        <w:t xml:space="preserve">, vyhlášky č. </w:t>
      </w:r>
      <w:hyperlink r:id="rId17" w:history="1">
        <w:r>
          <w:rPr>
            <w:color w:val="darkblue"/>
            <w:u w:val="single"/>
          </w:rPr>
          <w:t xml:space="preserve">468/2001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88/2005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252/2007 Sb.</w:t>
        </w:r>
      </w:hyperlink>
      <w:r>
        <w:rPr/>
        <w:t xml:space="preserve">, vyhlášky č. </w:t>
      </w:r>
      <w:hyperlink r:id="rId20" w:history="1">
        <w:r>
          <w:rPr>
            <w:color w:val="darkblue"/>
            <w:u w:val="single"/>
          </w:rPr>
          <w:t xml:space="preserve">7/2010 Sb.</w:t>
        </w:r>
      </w:hyperlink>
      <w:r>
        <w:rPr/>
        <w:t xml:space="preserve">, vyhlášky č. </w:t>
      </w:r>
      <w:hyperlink r:id="rId21" w:history="1">
        <w:r>
          <w:rPr>
            <w:color w:val="darkblue"/>
            <w:u w:val="single"/>
          </w:rPr>
          <w:t xml:space="preserve">462/2011 Sb.</w:t>
        </w:r>
      </w:hyperlink>
      <w:r>
        <w:rPr/>
        <w:t xml:space="preserve">, vyhlášky č. </w:t>
      </w:r>
      <w:hyperlink r:id="rId22" w:history="1">
        <w:r>
          <w:rPr>
            <w:color w:val="darkblue"/>
            <w:u w:val="single"/>
          </w:rPr>
          <w:t xml:space="preserve">4/2014 Sb.</w:t>
        </w:r>
      </w:hyperlink>
      <w:r>
        <w:rPr/>
        <w:t xml:space="preserve">, vyhlášky č. </w:t>
      </w:r>
      <w:hyperlink r:id="rId23" w:history="1">
        <w:r>
          <w:rPr>
            <w:color w:val="darkblue"/>
            <w:u w:val="single"/>
          </w:rPr>
          <w:t xml:space="preserve">263/2015 Sb.</w:t>
        </w:r>
      </w:hyperlink>
      <w:r>
        <w:rPr/>
        <w:t xml:space="preserve">, vyhlášky č. </w:t>
      </w:r>
      <w:hyperlink r:id="rId24" w:history="1">
        <w:r>
          <w:rPr>
            <w:color w:val="darkblue"/>
            <w:u w:val="single"/>
          </w:rPr>
          <w:t xml:space="preserve">226/2016 Sb.</w:t>
        </w:r>
      </w:hyperlink>
      <w:r>
        <w:rPr/>
        <w:t xml:space="preserve">, vyhlášky č. </w:t>
      </w:r>
      <w:hyperlink r:id="rId25" w:history="1">
        <w:r>
          <w:rPr>
            <w:color w:val="darkblue"/>
            <w:u w:val="single"/>
          </w:rPr>
          <w:t xml:space="preserve">166/2017 Sb.</w:t>
        </w:r>
      </w:hyperlink>
      <w:r>
        <w:rPr/>
        <w:t xml:space="preserve"> a vyhlášky č. </w:t>
      </w:r>
      <w:hyperlink r:id="rId26" w:history="1">
        <w:r>
          <w:rPr>
            <w:color w:val="darkblue"/>
            <w:u w:val="single"/>
          </w:rPr>
          <w:t xml:space="preserve">363/2017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nadpisu </w:t>
      </w:r>
      <w:hyperlink r:id="rId27" w:history="1">
        <w:r>
          <w:rPr>
            <w:color w:val="darkblue"/>
            <w:u w:val="single"/>
          </w:rPr>
          <w:t xml:space="preserve">§ 7c</w:t>
        </w:r>
      </w:hyperlink>
      <w:r>
        <w:rPr/>
        <w:t xml:space="preserve"> se slovo „</w:t>
      </w:r>
      <w:r>
        <w:rPr>
          <w:b/>
          <w:bCs/>
        </w:rPr>
        <w:t xml:space="preserve">Karviná</w:t>
      </w:r>
      <w:r>
        <w:rPr/>
        <w:t xml:space="preserve">“ nahrazuje slovy „</w:t>
      </w:r>
      <w:r>
        <w:rPr>
          <w:b/>
          <w:bCs/>
        </w:rPr>
        <w:t xml:space="preserve">v Karviné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písm. b) se slovo „nebo“ nahrazuje čárkou a na konci textu písmene se doplňují slova „nebo ve výkonu zabezpečovací detence“.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písmena e) až k)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„e)</w:t>
      </w:r>
      <w:r>
        <w:rPr/>
        <w:t xml:space="preserve">	</w:t>
      </w:r>
      <w:r>
        <w:rPr/>
        <w:t xml:space="preserve">sepisování podání státnímu zastupitelství včetně návrhů,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rozhodnutí o výši odměny obhájce a zmocněnce poškozeného, kteří mají vůči státu nárok na odměnu, a o výši náhrad jejich výdajů,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rozhodnutí o svědečném, znalečném, tlumočném a odměně konzultanta přibraného pro účely trestního řízení, o výši náhrad jejich výdajů a o odměně za odborné vyjádření podané na žádost orgánů činných v trestním 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přípravu podkladů pro rozhodnutí o podmíněném odložení podání návrhu na potrestání, podmíněném zastavení trestního stíhání nebo narovnaní a zpracování návrhu písemného vyhotovení těchto rozhodnutí,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rozhodnutí o zápočtech podle trestního řádu, o kterých rozhoduje státní zástupce,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přípravu podkladů pro rozhodnutí 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tom, zda zbytek závazku zdržet se během zkušební doby podmíněného odložení podání návrhu na potrestání nebo podmíněného zastavení trestního stíhání určité činnosti, včetně držení a chovu zvířat nebo péče o ně, nebude vykonán,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tom, zda se zruší uložené přiměřené omezení, přiměřená povinnost, výchovné opatření nebo dohled,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osvědčení nebo neosvědčení ve zkušební době podmíněného odložení podání návrhu na potrestání nebo podmíněného zastavení trestního stíhání, včetně podkladů pro rozhodnutí o ponechání podmíněného odložení podání návrhu na potrestání nebo podmíněného zastavení trestního stíhání v platnosti anebo pro rozhodnutí o pokračování v trestním stíhání obviněného, který se ve stanovené zkušební době podmíněného zastavení trestního stíhání neosvědčil, nebo pro pokyn k zahájení trestního stíhání podezřelého, který se ve stanovené zkušební době podmíněného odložení podání návrhu na potrestání neosvědčil,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zpracování návrhu písemného vyhotovení rozhodnutí podle písmene j),“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29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odst. 3 větě druhé se slova „státnímu zastupitelství místně a věcně příslušnému“ nahrazují slovy „místně a věcně příslušnému státnímu zastupitelství nebo o takové věci uvědomí Úřad evropského veřejného žalobce, jde-li o věc, v níž je nebo může být dána věcná příslušnost Úřadu evropského veřejného žalobce“ a ve větě třetí se slova „postoupení věci“ nahrazují slovy „postupu podle věty druhé“.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30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odst. 2 větě první se za slova „státnímu zastupitelství“ vkládají slova „nebo Úřadu evropského veřejného žalobce, pokud z jeho obsahu vyplývá, že jde o věc, v níž je nebo může být dána věcná příslušnost Úřadu evropského veřejného žalobce,“, ve větě druhé se za slovo „zastupitelství“ vkládají slova „nebo Úřadu evropského veřejného žalobce“ a na konci textu věty druhé se doplňují slova „nebo Úřad evropského veřejného žalobce“.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31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větě druhé se slova „o dalším trvání vazby nebo“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32" w:history="1">
        <w:r>
          <w:rPr>
            <w:color w:val="darkblue"/>
            <w:u w:val="single"/>
          </w:rPr>
          <w:t xml:space="preserve">§ 27</w:t>
        </w:r>
      </w:hyperlink>
      <w:r>
        <w:rPr/>
        <w:t xml:space="preserve"> odstavec 2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V rámci dosažitelnosti státní zástupce zajišťuje plnění dalších úkonů trestního řízení, pokud jejich provedení nesnese odkladu.“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nadpisu části páté se slova „</w:t>
      </w:r>
      <w:r>
        <w:rPr>
          <w:b/>
          <w:bCs/>
        </w:rPr>
        <w:t xml:space="preserve">O ZASTAVENÍ TRESTNÍHO STÍHÁNÍ A POSTOUPENÍ VĚCI JINÉMU ORGÁNU V ŘÍZENÍ</w:t>
      </w:r>
      <w:r>
        <w:rPr/>
        <w:t xml:space="preserve">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33" w:history="1">
        <w:r>
          <w:rPr>
            <w:color w:val="darkblue"/>
            <w:u w:val="single"/>
          </w:rPr>
          <w:t xml:space="preserve">§ 56</w:t>
        </w:r>
      </w:hyperlink>
      <w:r>
        <w:rPr/>
        <w:t xml:space="preserve"> a </w:t>
      </w:r>
      <w:hyperlink r:id="rId34" w:history="1">
        <w:r>
          <w:rPr>
            <w:color w:val="darkblue"/>
            <w:u w:val="single"/>
          </w:rPr>
          <w:t xml:space="preserve">§ 57</w:t>
        </w:r>
      </w:hyperlink>
      <w:r>
        <w:rPr/>
        <w:t xml:space="preserve"> větě první se za slovo „zástupce“ vkládají slova „o nestíhání podezřelého podle </w:t>
      </w:r>
      <w:hyperlink r:id="rId35" w:history="1">
        <w:r>
          <w:rPr>
            <w:color w:val="darkblue"/>
            <w:u w:val="single"/>
          </w:rPr>
          <w:t xml:space="preserve">§ 159d</w:t>
        </w:r>
      </w:hyperlink>
      <w:r>
        <w:rPr/>
        <w:t xml:space="preserve"> odst. 1 trestního řádu,“.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spravedlnosti: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Benešová</w:t>
      </w:r>
      <w:r>
        <w:rPr/>
        <w:t xml:space="preserve"> v. r.</w:t>
      </w:r>
    </w:p>
    <w:sectPr>
      <w:headerReference w:type="default" r:id="rId36"/>
      <w:footerReference w:type="default" r:id="rId3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4s023" TargetMode="External"/><Relationship Id="rId8" Type="http://schemas.openxmlformats.org/officeDocument/2006/relationships/hyperlink" Target="https://esipa.cz/sbirka/sbsrv.dll/sb?DR=AZ&amp;CP=1993s283-2019s315#P40" TargetMode="External"/><Relationship Id="rId9" Type="http://schemas.openxmlformats.org/officeDocument/2006/relationships/hyperlink" Target="https://esipa.cz/sbirka/sbsrv.dll/sb?DR=SB&amp;CP=1993s283" TargetMode="External"/><Relationship Id="rId10" Type="http://schemas.openxmlformats.org/officeDocument/2006/relationships/hyperlink" Target="https://esipa.cz/sbirka/sbsrv.dll/sb?DR=SB&amp;CP=2002s014" TargetMode="External"/><Relationship Id="rId11" Type="http://schemas.openxmlformats.org/officeDocument/2006/relationships/hyperlink" Target="https://esipa.cz/sbirka/sbsrv.dll/sb?DR=SB&amp;CP=2003s192" TargetMode="External"/><Relationship Id="rId12" Type="http://schemas.openxmlformats.org/officeDocument/2006/relationships/hyperlink" Target="https://esipa.cz/sbirka/sbsrv.dll/sb?DR=SB&amp;CP=2006s079" TargetMode="External"/><Relationship Id="rId13" Type="http://schemas.openxmlformats.org/officeDocument/2006/relationships/hyperlink" Target="https://esipa.cz/sbirka/sbsrv.dll/sb?DR=SB&amp;CP=1997s265" TargetMode="External"/><Relationship Id="rId14" Type="http://schemas.openxmlformats.org/officeDocument/2006/relationships/hyperlink" Target="https://esipa.cz/sbirka/sbsrv.dll/sb?DR=SB&amp;CP=1998s218" TargetMode="External"/><Relationship Id="rId15" Type="http://schemas.openxmlformats.org/officeDocument/2006/relationships/hyperlink" Target="https://esipa.cz/sbirka/sbsrv.dll/sb?DR=SB&amp;CP=2000s311" TargetMode="External"/><Relationship Id="rId16" Type="http://schemas.openxmlformats.org/officeDocument/2006/relationships/hyperlink" Target="https://esipa.cz/sbirka/sbsrv.dll/sb?DR=SB&amp;CP=2001s183" TargetMode="External"/><Relationship Id="rId17" Type="http://schemas.openxmlformats.org/officeDocument/2006/relationships/hyperlink" Target="https://esipa.cz/sbirka/sbsrv.dll/sb?DR=SB&amp;CP=2001s468" TargetMode="External"/><Relationship Id="rId18" Type="http://schemas.openxmlformats.org/officeDocument/2006/relationships/hyperlink" Target="https://esipa.cz/sbirka/sbsrv.dll/sb?DR=SB&amp;CP=2005s088" TargetMode="External"/><Relationship Id="rId19" Type="http://schemas.openxmlformats.org/officeDocument/2006/relationships/hyperlink" Target="https://esipa.cz/sbirka/sbsrv.dll/sb?DR=SB&amp;CP=2007s252" TargetMode="External"/><Relationship Id="rId20" Type="http://schemas.openxmlformats.org/officeDocument/2006/relationships/hyperlink" Target="https://esipa.cz/sbirka/sbsrv.dll/sb?DR=SB&amp;CP=2010s007" TargetMode="External"/><Relationship Id="rId21" Type="http://schemas.openxmlformats.org/officeDocument/2006/relationships/hyperlink" Target="https://esipa.cz/sbirka/sbsrv.dll/sb?DR=SB&amp;CP=2011s462" TargetMode="External"/><Relationship Id="rId22" Type="http://schemas.openxmlformats.org/officeDocument/2006/relationships/hyperlink" Target="https://esipa.cz/sbirka/sbsrv.dll/sb?DR=SB&amp;CP=2014s004" TargetMode="External"/><Relationship Id="rId23" Type="http://schemas.openxmlformats.org/officeDocument/2006/relationships/hyperlink" Target="https://esipa.cz/sbirka/sbsrv.dll/sb?DR=SB&amp;CP=2015s263" TargetMode="External"/><Relationship Id="rId24" Type="http://schemas.openxmlformats.org/officeDocument/2006/relationships/hyperlink" Target="https://esipa.cz/sbirka/sbsrv.dll/sb?DR=SB&amp;CP=2016s226" TargetMode="External"/><Relationship Id="rId25" Type="http://schemas.openxmlformats.org/officeDocument/2006/relationships/hyperlink" Target="https://esipa.cz/sbirka/sbsrv.dll/sb?DR=SB&amp;CP=2017s166" TargetMode="External"/><Relationship Id="rId26" Type="http://schemas.openxmlformats.org/officeDocument/2006/relationships/hyperlink" Target="https://esipa.cz/sbirka/sbsrv.dll/sb?DR=SB&amp;CP=2017s363" TargetMode="External"/><Relationship Id="rId27" Type="http://schemas.openxmlformats.org/officeDocument/2006/relationships/hyperlink" Target="https://esipa.cz/sbirka/sbsrv.dll/sb?DR=AZ&amp;CP=1994s023-2017s363#C01_H02_P007C" TargetMode="External"/><Relationship Id="rId28" Type="http://schemas.openxmlformats.org/officeDocument/2006/relationships/hyperlink" Target="https://esipa.cz/sbirka/sbsrv.dll/sb?DR=AZ&amp;CP=1994s023-2017s363#C01_H03_P011" TargetMode="External"/><Relationship Id="rId29" Type="http://schemas.openxmlformats.org/officeDocument/2006/relationships/hyperlink" Target="https://esipa.cz/sbirka/sbsrv.dll/sb?DR=AZ&amp;CP=1994s023-2017s363#C02_OD01_P012" TargetMode="External"/><Relationship Id="rId30" Type="http://schemas.openxmlformats.org/officeDocument/2006/relationships/hyperlink" Target="https://esipa.cz/sbirka/sbsrv.dll/sb?DR=AZ&amp;CP=1994s023-2017s363#C02_OD01_P017" TargetMode="External"/><Relationship Id="rId31" Type="http://schemas.openxmlformats.org/officeDocument/2006/relationships/hyperlink" Target="https://esipa.cz/sbirka/sbsrv.dll/sb?DR=AZ&amp;CP=1994s023-2017s363#C02_OD01_P020" TargetMode="External"/><Relationship Id="rId32" Type="http://schemas.openxmlformats.org/officeDocument/2006/relationships/hyperlink" Target="https://esipa.cz/sbirka/sbsrv.dll/sb?DR=AZ&amp;CP=1994s023-2017s363#C02_OD03_P027" TargetMode="External"/><Relationship Id="rId33" Type="http://schemas.openxmlformats.org/officeDocument/2006/relationships/hyperlink" Target="https://esipa.cz/sbirka/sbsrv.dll/sb?DR=AZ&amp;CP=1994s023-2017s363#C05_P056" TargetMode="External"/><Relationship Id="rId34" Type="http://schemas.openxmlformats.org/officeDocument/2006/relationships/hyperlink" Target="https://esipa.cz/sbirka/sbsrv.dll/sb?DR=AZ&amp;CP=1994s023-2017s363#C05_P057" TargetMode="External"/><Relationship Id="rId35" Type="http://schemas.openxmlformats.org/officeDocument/2006/relationships/hyperlink" Target="https://esipa.cz/sbirka/sbsrv.dll/sb?DR=AZ&amp;CP=1961s141-2019s255#P159D" TargetMode="External"/><Relationship Id="rId36" Type="http://schemas.openxmlformats.org/officeDocument/2006/relationships/header" Target="header1.xml"/><Relationship Id="rId3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227/2021 Sb. - původní znění</dc:title>
  <dc:description>Vyhláška, kterou se mění vyhláška č. 23/1994 Sb., o jednacím řádu státního zastupitelství, zřízení poboček některých státních zastupitelství a podrobnostech o úkonech prováděných právními čekateli, ve znění pozdějších předpisů</dc:description>
  <dc:subject/>
  <cp:keywords/>
  <cp:category/>
  <cp:lastModifiedBy/>
  <dcterms:created xsi:type="dcterms:W3CDTF">2022-01-01T00:00:00+01:00</dcterms:created>
  <dcterms:modified xsi:type="dcterms:W3CDTF">2022-03-31T15:40:08+02:00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