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30. března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419/2012 Sb.</w:t>
        </w:r>
      </w:hyperlink>
      <w:r>
        <w:rPr>
          <w:b/>
          <w:bCs/>
        </w:rPr>
        <w:t xml:space="preserve">, o ochraně pokusných zvířat, ve znění vyhlášky č. </w:t>
      </w:r>
      <w:hyperlink r:id="rId8" w:history="1">
        <w:r>
          <w:rPr>
            <w:color w:val="darkblue"/>
            <w:u w:val="single"/>
          </w:rPr>
          <w:t xml:space="preserve">299/2014 Sb.</w:t>
        </w:r>
      </w:hyperlink>
    </w:p>
    <w:p/>
    <w:p>
      <w:pPr>
        <w:jc w:val="left"/>
        <w:ind w:left="0" w:right="0"/>
        <w:spacing w:after="0"/>
      </w:pPr>
      <w:r>
        <w:rPr/>
        <w:t xml:space="preserve">Ministerstvo zemědělství stanoví podle </w:t>
      </w:r>
      <w:hyperlink r:id="rId9" w:history="1">
        <w:r>
          <w:rPr>
            <w:color w:val="darkblue"/>
            <w:u w:val="single"/>
          </w:rPr>
          <w:t xml:space="preserve">§ 29</w:t>
        </w:r>
      </w:hyperlink>
      <w:r>
        <w:rPr/>
        <w:t xml:space="preserve"> odst. 1 zákona č. </w:t>
      </w:r>
      <w:hyperlink r:id="rId10" w:history="1">
        <w:r>
          <w:rPr>
            <w:color w:val="darkblue"/>
            <w:u w:val="single"/>
          </w:rPr>
          <w:t xml:space="preserve">246/1992 Sb.</w:t>
        </w:r>
      </w:hyperlink>
      <w:r>
        <w:rPr/>
        <w:t xml:space="preserve">, na ochranu zvířat proti týrání, ve znění zákona č. </w:t>
      </w:r>
      <w:hyperlink r:id="rId11" w:history="1">
        <w:r>
          <w:rPr>
            <w:color w:val="darkblue"/>
            <w:u w:val="single"/>
          </w:rPr>
          <w:t xml:space="preserve">162/1993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77/2004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312/2008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359/2012 Sb.</w:t>
        </w:r>
      </w:hyperlink>
      <w:r>
        <w:rPr/>
        <w:t xml:space="preserve"> a zákona č. </w:t>
      </w:r>
      <w:hyperlink r:id="rId16" w:history="1">
        <w:r>
          <w:rPr>
            <w:color w:val="darkblue"/>
            <w:u w:val="single"/>
          </w:rPr>
          <w:t xml:space="preserve">501/2020 Sb.</w:t>
        </w:r>
      </w:hyperlink>
      <w:r>
        <w:rPr/>
        <w:t xml:space="preserve">, k provedení </w:t>
      </w:r>
      <w:hyperlink r:id="rId17" w:history="1">
        <w:r>
          <w:rPr>
            <w:color w:val="darkblue"/>
            <w:u w:val="single"/>
          </w:rPr>
          <w:t xml:space="preserve">§ 15c</w:t>
        </w:r>
      </w:hyperlink>
      <w:r>
        <w:rPr/>
        <w:t xml:space="preserve"> odst. 7 zákona: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419/2012 Sb.</w:t>
        </w:r>
      </w:hyperlink>
      <w:r>
        <w:rPr/>
        <w:t xml:space="preserve">, o ochraně pokusných zvířat, ve znění vyhlášky č. </w:t>
      </w:r>
      <w:hyperlink r:id="rId8" w:history="1">
        <w:r>
          <w:rPr>
            <w:color w:val="darkblue"/>
            <w:u w:val="single"/>
          </w:rPr>
          <w:t xml:space="preserve">299/2014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písmeno a) zrušuje.</w:t>
      </w:r>
    </w:p>
    <w:p>
      <w:pPr>
        <w:ind w:left="560" w:right="0"/>
      </w:pPr>
      <w:r>
        <w:rPr/>
        <w:t xml:space="preserve">Dosavadní písmena b) až j) se označují jako písmena a) až i).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písmena b) a c) zrušují.</w:t>
      </w:r>
    </w:p>
    <w:p>
      <w:pPr>
        <w:ind w:left="560" w:right="0"/>
      </w:pPr>
      <w:r>
        <w:rPr/>
        <w:t xml:space="preserve">Dosavadní písmena d) až i) se označují jako písmena b) až g).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hyperlink r:id="rId1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včetně nadpisu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odstavec 1 včetně poznámek pod čarou č. 2 a 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Chovatel pokusných zvířat, dodavatel pokusných zvířat nebo uživatel pokusných zvířat, který žádá o udělení oprávnění k chovu pokusných zvířat, oprávnění k dodávce pokusných zvířat nebo oprávnění k používání pokusných zvířat (dále jen „žadatel“), posuzovatelům předloží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doklad opravňující k používání stavby k chovu nebo dodávce pokusných zvířat nebo k provádění pokusů na pokusných zvířatech podle stavebního zákona nebo závazný posudek příslušné krajské veterinární správy v územním, stavebním a kolaudačním řízení, je-li požadován jinými právními předpisy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; to neplatí v případě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provádění pokusů ve volné přírodě,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zemědělského výzkumu podle přílohy č. 7 k této vyhlášce bodu 7, při němž cíl projektu pokusů vyžaduje, aby byla pokusná zvířata chována za obdobných podmínek jako hospodářská zvířata chovaná pro komerční účely,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písemné vyjádření příslušné krajské veterinární správy k činnosti zařízení, které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nesmí být v den podání žádosti o udělení oprávnění k používání pokusných zvířat, k chovu pokusných zvířat nebo k dodávce pokusných zvířat starší dvou měsíců,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se vztahuje na zařízení uvedená v žádosti o udělení oprávnění k používání pokusných zvířat, k chovu pokusných zvířat nebo k dodávce pokusných zvířat,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provozní řád zařízení, včetně havarijního řádu zařízení chovatele pokusných zvířat, dodavatele pokusných zvířat nebo uživatele pokusných zvířat,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technologické postupy; chovatel pokusných zvířat, dodavatel pokusných zvířat nebo uživatel pokusných zvířat, který je povinen zpracovávat standardní operační postupy podle jiného právního předpisu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, předloží standardní operační postupy,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dokumentaci o charakteru objektů zařízení, včetně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adresy, přesného umístění, názvu, popřípadě jiného označení jednotlivých prostor, které slouží k chovu nebo dodávce pokusných zvířat nebo kde jsou prováděny pokusy na pokusných zvířatech, zejména označení jednotlivých místností, stájí a obdobných částí zařízení,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druhů pokusných zvířat určených k chovu, dodávce nebo použití, jejich maximálních denních stavů celkem a v jednotlivých místnostech, stájích nebo obdobných částech zařízení a hmotnostní kategorie zvířat, ke které se maximální denní stav zvířat vztahuje,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uvedení, zda jsou jednotlivé místnosti, stáje nebo obdobné části zařízení určeny pro střídavé umístění různých druhů zvířat, které v nich nejsou nebo nesmí být umístěny současně; uvedení, které druhy zvířat a v jakém maximálním denním stavu mohou být v prostorech střídavě umístěny, pokud k takovému využití prostor v zařízení dochází,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uvedení systému chovu používaného v zařízení, zejména zda se jedná o systém otevřený, bariérový nebo izolátorový, nebo o používání zvířat ve volné přírodě,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popisu technického vybavení vhodného pro druhy pokusných zvířat, které jsou v něm umístěny, a jsou-li v daném zařízení prováděny pokusy, rovněž pro provádění pokusů, zejména jejich počet, typ a velikost,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půdorysného plánu zařízení, ve kterém jsou vyznačeny jednotlivé místnosti, stáje a obdobné části zařízení,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záznamy o odborné způsobilosti k navrhování pokusů a projektů pokusů a o odborné způsobilosti k provádění pokusů na pokusných zvířatech, péči o pokusná zvířata a usmrcování pokusných zvířat podle </w:t>
      </w:r>
      <w:hyperlink r:id="rId21" w:history="1">
        <w:r>
          <w:rPr>
            <w:color w:val="darkblue"/>
            <w:u w:val="single"/>
          </w:rPr>
          <w:t xml:space="preserve">§ 15d</w:t>
        </w:r>
      </w:hyperlink>
      <w:r>
        <w:rPr/>
        <w:t xml:space="preserve"> odst. 8 zákona,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doklad o ustanovení osoby odpovědné za péči o pokusná zvířata a její osvědčení o odborné způsobilosti k navrhování pokusů a projektů pokusů,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doklad o zřízení odborné komise pro zajišťování dobrých životních podmínek pokusných zvířat,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seznam členů odborné komise pro zajišťování dobrých životních podmínek pokusných zvířat, doklad o ustanovení členem této odborné komise, osvědčení členů této odborné komise o odborné způsobilosti k navrhování pokusů a projektů pokusů,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doklad o ustanovení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určeného veterinárního lékaře a doklad prokazující získání jeho příslušného veterinárního vysokoškolského vzdělání podle zákona o vysokých školách nebo jeho osvědčení o odborné způsobilosti k navrhování pokusů a projektů pokusů, nebo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patřičně kvalifikovaného odborníka, který je pověřen poskytováním poradenství ohledně dobrých životních podmínek pokusných zvířat a zacházení s nimi, a jeho osvědčení o odborné způsobilosti k navrhování pokusů a projektů pokusů.</w:t>
      </w:r>
    </w:p>
    <w:p>
      <w:pPr>
        <w:spacing w:after="200"/>
      </w:pPr>
      <w:pPr>
        <w:rPr/>
      </w:pPr>
    </w:p>
    <w:p>
      <w:pPr/>
      <w:r>
        <w:pict>
          <v:shape id="_x0000_s104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</w:t>
      </w:r>
      <w:hyperlink r:id="rId22" w:history="1">
        <w:r>
          <w:rPr>
            <w:color w:val="darkblue"/>
            <w:u w:val="single"/>
          </w:rPr>
          <w:t xml:space="preserve">166/1999 Sb.</w:t>
        </w:r>
      </w:hyperlink>
      <w:r>
        <w:rPr>
          <w:sz w:val="19.200000000000003"/>
          <w:szCs w:val="19.200000000000003"/>
        </w:rPr>
        <w:t xml:space="preserve">, o veterinární péči a o změně některých souvisejících zákonů (veterinární zákon), ve znění pozdějších předpisů.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 </w:t>
      </w:r>
      <w:hyperlink r:id="rId23" w:history="1">
        <w:r>
          <w:rPr>
            <w:color w:val="darkblue"/>
            <w:u w:val="single"/>
          </w:rPr>
          <w:t xml:space="preserve">86/2008 Sb.</w:t>
        </w:r>
      </w:hyperlink>
      <w:r>
        <w:rPr>
          <w:sz w:val="19.200000000000003"/>
          <w:szCs w:val="19.200000000000003"/>
        </w:rPr>
        <w:t xml:space="preserve">, o stanovení zásad správné laboratorní praxe v oblasti léčiv.“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písmena b) a c) 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„b)</w:t>
      </w:r>
      <w:r>
        <w:rPr/>
        <w:t xml:space="preserve">	</w:t>
      </w:r>
      <w:r>
        <w:rPr/>
        <w:t xml:space="preserve">záznamy vedené podle </w:t>
      </w:r>
      <w:hyperlink r:id="rId24" w:history="1">
        <w:r>
          <w:rPr>
            <w:color w:val="darkblue"/>
            <w:u w:val="single"/>
          </w:rPr>
          <w:t xml:space="preserve">§ 17g</w:t>
        </w:r>
      </w:hyperlink>
      <w:r>
        <w:rPr/>
        <w:t xml:space="preserve"> odst. 1 zákona,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informace a dokumentaci podle </w:t>
      </w:r>
      <w:hyperlink r:id="rId25" w:history="1">
        <w:r>
          <w:rPr>
            <w:color w:val="darkblue"/>
            <w:u w:val="single"/>
          </w:rPr>
          <w:t xml:space="preserve">§ 17h</w:t>
        </w:r>
      </w:hyperlink>
      <w:r>
        <w:rPr/>
        <w:t xml:space="preserve"> odst. 1 zákona, pokud se jedná o žadatele, který chová, dodává nebo používá psy, kočky nebo subhumánní primáty,“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se za písmeno c) vkládá nové písmeno d),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strategii pro udržování zdravotního stavu pokusných zvířat podle přílohy č. 8 k této vyhlášce písmene a) bodu 1,“</w:t>
      </w:r>
    </w:p>
    <w:p>
      <w:pPr>
        <w:ind w:left="560" w:right="0"/>
      </w:pPr>
      <w:r>
        <w:rPr/>
        <w:t xml:space="preserve">Dosavadní písmena d) až i) se označují jako písmena e) až j).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se za písmeno g) vkládá nové písmeno h),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„h)</w:t>
      </w:r>
      <w:r>
        <w:rPr/>
        <w:t xml:space="preserve">	</w:t>
      </w:r>
      <w:r>
        <w:rPr/>
        <w:t xml:space="preserve">protokoly pokusů, včetně zápisů o kontrole prováděné osobou odpovědnou za péči o pokusná zvířata a odbornou komisí pro zajišťování dobrých životních podmínek pokusných zvířat, jedná-li se o uživatele pokusných zvířat,“</w:t>
      </w:r>
    </w:p>
    <w:p>
      <w:pPr>
        <w:ind w:left="560" w:right="0"/>
      </w:pPr>
      <w:r>
        <w:rPr/>
        <w:t xml:space="preserve">Dosavadní písmena h) až j) se označují jako písmena i) až k).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písm. i) se za slova „posouzení posuzovateli,“ vkládají slova „pokud tato dokumentace není součástí protokolu pokusů podle písmene h),“.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písm. j) se slova „pro evidenci zvířat“ zrušují a za slova „projektů pokusů“ se vkládají slova „podle </w:t>
      </w:r>
      <w:hyperlink r:id="rId26" w:history="1">
        <w:r>
          <w:rPr>
            <w:color w:val="darkblue"/>
            <w:u w:val="single"/>
          </w:rPr>
          <w:t xml:space="preserve">§ 15g</w:t>
        </w:r>
      </w:hyperlink>
      <w:r>
        <w:rPr/>
        <w:t xml:space="preserve"> odst. 5 zákona“.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3 písmeno d)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posouzení prostorové kapacity zařízení a technického vybavení prostor, ve kterých jsou chována, dodávána a používána pokusná zvířata, zejména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druhy pokusných zvířat určených k chovu, dodávce nebo použití, jejich maximální denní stavy celkem a v jednotlivých místnostech, stájích nebo obdobných částech zařízení, a hmotnostní kategorii zvířat, ke které se maximální denní stav zvířat vztahuje,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zjištěné závady a nedostatky,“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3 se za písmeno d) vkládají nová písmena e) až h), která včetně poznámky pod čarou č. 4 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„e)</w:t>
      </w:r>
      <w:r>
        <w:rPr/>
        <w:t xml:space="preserve">	</w:t>
      </w:r>
      <w:r>
        <w:rPr/>
        <w:t xml:space="preserve">systém chovu používaný v zařízení, zejména zda se jedná o systém otevřený, bariérový nebo izolátorový, nebo o používání zvířat ve volné přírodě,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vyjádření, zda byla velikost prostor v zařízení posuzována podle této vyhlášky nebo podle vyhlášky upravující minimální standardy pro ochranu hospodářských zvířat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, v případě zemědělského výzkumu podle přílohy č. 7 k této vyhlášce bodu 7, při němž cíl projektu pokusů vyžaduje, aby byla pokusná zvířata chována za obdobných podmínek jako hospodářská zvířata chovaná pro komerční účely,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vyjádření posuzovatelů k žádosti o udělení výjimky z povinnosti provádět pokusy pouze ve schválených zařízeních uživatele pokusných zvířat podle </w:t>
      </w:r>
      <w:hyperlink r:id="rId27" w:history="1">
        <w:r>
          <w:rPr>
            <w:color w:val="darkblue"/>
            <w:u w:val="single"/>
          </w:rPr>
          <w:t xml:space="preserve">§ 15a</w:t>
        </w:r>
      </w:hyperlink>
      <w:r>
        <w:rPr/>
        <w:t xml:space="preserve"> odst. 2 zákona, pokud žadatel tuto žádost podal,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vyjádření posuzovatelů k žádosti o udělení výjimky z povinnosti používat k pokusům pokusná zvířata uvedená v </w:t>
      </w:r>
      <w:hyperlink r:id="rId28" w:history="1">
        <w:r>
          <w:rPr>
            <w:color w:val="darkblue"/>
            <w:u w:val="single"/>
          </w:rPr>
          <w:t xml:space="preserve">§ 17f</w:t>
        </w:r>
      </w:hyperlink>
      <w:r>
        <w:rPr/>
        <w:t xml:space="preserve"> odst. 1 zákona pouze tehdy, byla-li pro použití k pokusům chována, pokud žadatel tuto žádost podal,</w:t>
      </w:r>
    </w:p>
    <w:p>
      <w:pPr>
        <w:spacing w:after="200"/>
      </w:pPr>
      <w:pPr>
        <w:rPr/>
      </w:pPr>
    </w:p>
    <w:p>
      <w:pPr/>
      <w:r>
        <w:pict>
          <v:shape id="_x0000_s1065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 </w:t>
      </w:r>
      <w:hyperlink r:id="rId29" w:history="1">
        <w:r>
          <w:rPr>
            <w:color w:val="darkblue"/>
            <w:u w:val="single"/>
          </w:rPr>
          <w:t xml:space="preserve">208/2004 Sb.</w:t>
        </w:r>
      </w:hyperlink>
      <w:r>
        <w:rPr>
          <w:sz w:val="19.200000000000003"/>
          <w:szCs w:val="19.200000000000003"/>
        </w:rPr>
        <w:t xml:space="preserve">, o minimálních standardech pro ochranu hospodářských zvířat, ve znění pozdějších předpisů.“</w:t>
      </w:r>
    </w:p>
    <w:p>
      <w:pPr>
        <w:ind w:left="560" w:right="0"/>
      </w:pPr>
      <w:r>
        <w:rPr/>
        <w:t xml:space="preserve">Dosavadní písmena e) až h) se označují jako písmena i) až l).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hyperlink r:id="rId3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a 5 se včetně nadpisů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Přílohy č. 1 až 4 se zrušují.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Ve správních řízeních, která byla zahájena přede dnem nabytí účinnosti této vyhlášky, chovatel pokusných zvířat, dodavatel pokusných zvířat nebo uživatel pokusných zvířat, který žádá o udělení oprávnění k chovu pokusných zvířat, oprávnění k dodávce pokusných zvířat nebo oprávnění k používání pokusných zvířat, posuzovatelům předloží údaje podle vyhlášky č. </w:t>
      </w:r>
      <w:hyperlink r:id="rId7" w:history="1">
        <w:r>
          <w:rPr>
            <w:color w:val="darkblue"/>
            <w:u w:val="single"/>
          </w:rPr>
          <w:t xml:space="preserve">419/2012 Sb.</w:t>
        </w:r>
      </w:hyperlink>
      <w:r>
        <w:rPr/>
        <w:t xml:space="preserve">, ve znění účinném přede dnem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Ve správních řízeních, která byla zahájena přede dnem nabytí účinnosti této vyhlášky, posuzovatelé zpracují písemný posudek podle vyhlášky č. </w:t>
      </w:r>
      <w:hyperlink r:id="rId7" w:history="1">
        <w:r>
          <w:rPr>
            <w:color w:val="darkblue"/>
            <w:u w:val="single"/>
          </w:rPr>
          <w:t xml:space="preserve">419/2012 Sb.</w:t>
        </w:r>
      </w:hyperlink>
      <w:r>
        <w:rPr/>
        <w:t xml:space="preserve">, ve znění účinném přede dnem nabytí účinnosti této vyhlášky.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Závěrečné ustanovení</w:t>
      </w:r>
    </w:p>
    <w:p>
      <w:pPr>
        <w:ind w:left="0" w:right="0"/>
      </w:pPr>
      <w:r>
        <w:rPr/>
        <w:t xml:space="preserve">Tato vyhláška byla oznámena v souladu se směrnicí Evropského parlamentu a Rady </w:t>
      </w:r>
      <w:hyperlink r:id="rId31" w:history="1">
        <w:r>
          <w:rPr>
            <w:color w:val="darkblue"/>
            <w:u w:val="single"/>
          </w:rPr>
          <w:t xml:space="preserve">(EU) 2015/1535</w:t>
        </w:r>
      </w:hyperlink>
      <w:r>
        <w:rPr/>
        <w:t xml:space="preserve"> ze dne 9. září 2015 o postupu při poskytování informací v oblasti technických předpisů a předpisů pro služby informační společnosti.</w:t>
      </w:r>
    </w:p>
    <w:p>
      <w:pPr>
        <w:pStyle w:val="Heading1"/>
      </w:pPr>
      <w:r>
        <w:rPr>
          <w:b/>
          <w:bCs/>
        </w:rPr>
        <w:t xml:space="preserve">Čl. IV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15. dubna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Toman</w:t>
      </w:r>
      <w:r>
        <w:rPr/>
        <w:t xml:space="preserve">, CSc., v. r.</w:t>
      </w:r>
    </w:p>
    <w:sectPr>
      <w:headerReference w:type="default" r:id="rId32"/>
      <w:footerReference w:type="default" r:id="rId3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158/2021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2s419" TargetMode="External"/><Relationship Id="rId8" Type="http://schemas.openxmlformats.org/officeDocument/2006/relationships/hyperlink" Target="https://esipa.cz/sbirka/sbsrv.dll/sb?DR=SB&amp;CP=2014s299" TargetMode="External"/><Relationship Id="rId9" Type="http://schemas.openxmlformats.org/officeDocument/2006/relationships/hyperlink" Target="https://esipa.cz/sbirka/sbsrv.dll/sb?DR=AZ&amp;CP=1992s246-2020s501_20210401#P29" TargetMode="External"/><Relationship Id="rId10" Type="http://schemas.openxmlformats.org/officeDocument/2006/relationships/hyperlink" Target="https://esipa.cz/sbirka/sbsrv.dll/sb?DR=SB&amp;CP=1992s246" TargetMode="External"/><Relationship Id="rId11" Type="http://schemas.openxmlformats.org/officeDocument/2006/relationships/hyperlink" Target="https://esipa.cz/sbirka/sbsrv.dll/sb?DR=SB&amp;CP=1993s162" TargetMode="External"/><Relationship Id="rId12" Type="http://schemas.openxmlformats.org/officeDocument/2006/relationships/hyperlink" Target="https://esipa.cz/sbirka/sbsrv.dll/sb?DR=SB&amp;CP=2004s077" TargetMode="External"/><Relationship Id="rId13" Type="http://schemas.openxmlformats.org/officeDocument/2006/relationships/hyperlink" Target="https://esipa.cz/sbirka/sbsrv.dll/sb?DR=SB&amp;CP=2008s312" TargetMode="External"/><Relationship Id="rId14" Type="http://schemas.openxmlformats.org/officeDocument/2006/relationships/hyperlink" Target="https://esipa.cz/sbirka/sbsrv.dll/sb?DR=SB&amp;CP=2009s291" TargetMode="External"/><Relationship Id="rId15" Type="http://schemas.openxmlformats.org/officeDocument/2006/relationships/hyperlink" Target="https://esipa.cz/sbirka/sbsrv.dll/sb?DR=SB&amp;CP=2012s359" TargetMode="External"/><Relationship Id="rId16" Type="http://schemas.openxmlformats.org/officeDocument/2006/relationships/hyperlink" Target="https://esipa.cz/sbirka/sbsrv.dll/sb?DR=SB&amp;CP=2020s501" TargetMode="External"/><Relationship Id="rId17" Type="http://schemas.openxmlformats.org/officeDocument/2006/relationships/hyperlink" Target="https://esipa.cz/sbirka/sbsrv.dll/sb?DR=AZ&amp;CP=1992s246-2020s501_20210401#P15C" TargetMode="External"/><Relationship Id="rId18" Type="http://schemas.openxmlformats.org/officeDocument/2006/relationships/hyperlink" Target="https://esipa.cz/sbirka/sbsrv.dll/sb?DR=AZ&amp;CP=2012s419-2014s299#P001" TargetMode="External"/><Relationship Id="rId19" Type="http://schemas.openxmlformats.org/officeDocument/2006/relationships/hyperlink" Target="https://esipa.cz/sbirka/sbsrv.dll/sb?DR=AZ&amp;CP=2012s419-2014s299#P002" TargetMode="External"/><Relationship Id="rId20" Type="http://schemas.openxmlformats.org/officeDocument/2006/relationships/hyperlink" Target="https://esipa.cz/sbirka/sbsrv.dll/sb?DR=AZ&amp;CP=2012s419-2014s299#P003" TargetMode="External"/><Relationship Id="rId21" Type="http://schemas.openxmlformats.org/officeDocument/2006/relationships/hyperlink" Target="https://esipa.cz/sbirka/sbsrv.dll/sb?DR=AZ&amp;CP=1992s246-2020s501_20210401#P15D" TargetMode="External"/><Relationship Id="rId22" Type="http://schemas.openxmlformats.org/officeDocument/2006/relationships/hyperlink" Target="https://esipa.cz/sbirka/sbsrv.dll/sb?DR=SB&amp;CP=1999s166" TargetMode="External"/><Relationship Id="rId23" Type="http://schemas.openxmlformats.org/officeDocument/2006/relationships/hyperlink" Target="https://esipa.cz/sbirka/sbsrv.dll/sb?DR=SB&amp;CP=2008s086" TargetMode="External"/><Relationship Id="rId24" Type="http://schemas.openxmlformats.org/officeDocument/2006/relationships/hyperlink" Target="https://esipa.cz/sbirka/sbsrv.dll/sb?DR=AZ&amp;CP=1992s246-2020s501_20210401#P17G" TargetMode="External"/><Relationship Id="rId25" Type="http://schemas.openxmlformats.org/officeDocument/2006/relationships/hyperlink" Target="https://esipa.cz/sbirka/sbsrv.dll/sb?DR=AZ&amp;CP=1992s246-2020s501_20210401#P17H" TargetMode="External"/><Relationship Id="rId26" Type="http://schemas.openxmlformats.org/officeDocument/2006/relationships/hyperlink" Target="https://esipa.cz/sbirka/sbsrv.dll/sb?DR=AZ&amp;CP=1992s246-2020s501_20210401#P15G" TargetMode="External"/><Relationship Id="rId27" Type="http://schemas.openxmlformats.org/officeDocument/2006/relationships/hyperlink" Target="https://esipa.cz/sbirka/sbsrv.dll/sb?DR=AZ&amp;CP=1992s246-2020s501_20210401#P15A" TargetMode="External"/><Relationship Id="rId28" Type="http://schemas.openxmlformats.org/officeDocument/2006/relationships/hyperlink" Target="https://esipa.cz/sbirka/sbsrv.dll/sb?DR=AZ&amp;CP=1992s246-2020s501_20210401#P17F" TargetMode="External"/><Relationship Id="rId29" Type="http://schemas.openxmlformats.org/officeDocument/2006/relationships/hyperlink" Target="https://esipa.cz/sbirka/sbsrv.dll/sb?DR=SB&amp;CP=2004s208" TargetMode="External"/><Relationship Id="rId30" Type="http://schemas.openxmlformats.org/officeDocument/2006/relationships/hyperlink" Target="https://esipa.cz/sbirka/sbsrv.dll/sb?DR=AZ&amp;CP=2012s419-2014s299#P004" TargetMode="External"/><Relationship Id="rId31" Type="http://schemas.openxmlformats.org/officeDocument/2006/relationships/hyperlink" Target="https://esipa.cz/sbirka/sbsrv.dll/sb?DR=SB&amp;CP=32015L1535" TargetMode="External"/><Relationship Id="rId32" Type="http://schemas.openxmlformats.org/officeDocument/2006/relationships/header" Target="header1.xml"/><Relationship Id="rId3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158/2021 Sb. - původní znění</dc:title>
  <dc:description>Vyhláška, kterou se mění vyhláška č. 419/2012 Sb., o ochraně pokusných zvířat, ve znění vyhlášky č. 299/2014 Sb.</dc:description>
  <dc:subject/>
  <cp:keywords/>
  <cp:category/>
  <cp:lastModifiedBy/>
  <dcterms:created xsi:type="dcterms:W3CDTF">2021-04-15T00:00:00+02:00</dcterms:created>
  <dcterms:modified xsi:type="dcterms:W3CDTF">2021-04-15T02:09:56+02:00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