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17. března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provádění zvláštních režimů v oblasti zahraničního obchodu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Předmět úpravy</w:t>
      </w:r>
    </w:p>
    <w:p>
      <w:pPr>
        <w:ind w:left="0" w:right="0"/>
      </w:pPr>
      <w:r>
        <w:rPr/>
        <w:t xml:space="preserve">Tento zákon upravuje v návaznosti na přímo použitelné předpisy Evropské unie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 působnost a pravomoci orgánů k provádění zvláštních režimů v oblasti zahraničního obchodu.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Zvláštní režimy v oblasti zahraničního obchodu</w:t>
      </w:r>
    </w:p>
    <w:p>
      <w:pPr>
        <w:ind w:left="0" w:right="0"/>
      </w:pPr>
      <w:r>
        <w:rPr/>
        <w:t xml:space="preserve">Zvláštními režimy v oblasti zahraničního obchodu se pro účely tohoto zákona rozumí systémy kontroly obchodu podle nařízení Rady </w:t>
      </w:r>
      <w:hyperlink r:id="rId7" w:history="1">
        <w:r>
          <w:rPr>
            <w:color w:val="darkblue"/>
            <w:u w:val="single"/>
          </w:rPr>
          <w:t xml:space="preserve">(ES) č. 2271/96</w:t>
        </w:r>
      </w:hyperlink>
      <w:r>
        <w:rPr/>
        <w:t xml:space="preserve"> a 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Působnost ministerstva</w:t>
      </w:r>
    </w:p>
    <w:p>
      <w:pPr>
        <w:ind w:left="0" w:right="0"/>
      </w:pPr>
      <w:r>
        <w:rPr/>
        <w:t xml:space="preserve">Ministerstvo průmyslu a obchodu (dále jen „ministerstvo“)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je příslušným orgánem k uplatňování nařízení Rady </w:t>
      </w:r>
      <w:hyperlink r:id="rId7" w:history="1">
        <w:r>
          <w:rPr>
            <w:color w:val="darkblue"/>
            <w:u w:val="single"/>
          </w:rPr>
          <w:t xml:space="preserve">(ES) č. 2271/96</w:t>
        </w:r>
      </w:hyperlink>
      <w:r>
        <w:rPr/>
        <w:t xml:space="preserve">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je příslušným orgánem k uplatňování 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je orgánem odpovědným za zajištění jednotného a účinného provádění 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 podle čl. 10 odst. 3 tohoto nařízení,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provádí následné kontroly podle čl. 3 odst. 2 a čl. 11 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 (dále jen „kontroly“),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ukládá opatření k nápravě podle </w:t>
      </w:r>
      <w:r>
        <w:rPr/>
        <w:t xml:space="preserve">§ 5</w:t>
      </w:r>
      <w:r>
        <w:rPr/>
        <w:t xml:space="preserve">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spravuje veřejný seznam kontrol dostupný na internetových stránkách ministerstva,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informuje Evropskou komisi a příslušné orgány členských států o nedostatcích zjištěných kontrolami podle čl. 13 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předkládá Evropské komisi zprávu o provádění 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 podle čl. 17 odst. 1 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.</w:t>
      </w:r>
    </w:p>
    <w:p>
      <w:pPr>
        <w:pStyle w:val="Heading1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Generální ředitelství cel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Generální ředitelství cel poskytuje ministerstvu na jeho žádost do 30 dnů ode dne jejího obdržení v souvislosti s plněním úkolů uvedených v </w:t>
      </w:r>
      <w:r>
        <w:rPr/>
        <w:t xml:space="preserve">§ 3</w:t>
      </w:r>
      <w:r>
        <w:rPr/>
        <w:t xml:space="preserve"> písm. b) až h) následující informace: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identifikační údaje unijního dovozce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 (dále jen „dovozce“) a odesílatele nerostných surovin nebo kovů uvedených v příloze I 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 (dále jen „nerostná surovina nebo kov“), a to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jméno, případně jména, a příjmení, místo pobytu, případně místo podnikání, obchodní firmu nebo název a adresu sídla,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identifikační číslo, bylo-li přiděleno,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popis nerostné suroviny nebo kovu, obchodní název a druh podle jeho zařazení v kombinované nomenklatuře, případně dělení na TARIC kódy,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množství dovezené nerostné suroviny nebo kovu vyjádřené v kilogramech,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hodnotu dovezené nerostné suroviny nebo kovu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zemi odeslání a zemi původu nerostné suroviny nebo kovu.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Poskytnutí informací podle odstavce 1 není porušením mlčenlivosti podle daňového řádu.</w:t>
      </w:r>
    </w:p>
    <w:p>
      <w:pPr>
        <w:pStyle w:val="Heading1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Opatření k nápravě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Zjistí-li ministerstvo na základě provedené kontroly nedostatky v provádění povinností dovozce stanovených nařízením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, uloží mu za účelem nápravy zjištěných nedostatků opatření k nápravě, která spočívají zejména v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poskytnutí dodatečných úplných interních záznamů, materiálů nebo dokumentů,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dodání, doplnění nebo aktualizaci zprávy o auditu splňující požadavky čl. 6 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aktualizaci údajů o celoročním dovozu příslušných nerostných surovin nebo kovů,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uvedení vnitřních systémů řízení do souladu s povinnostmi dovozce podle čl. 4 až 6 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Dovozce předloží ministerstvu do 30 dnů ode dne doručení výzvy k provedení opatření k nápravě časově konkrétní a s ohledem na povahu tohoto opatření k nápravě přiměřený plán jejich provádění.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Ministerstvo po ukončení kontroly zveřejní ve veřejném seznamu kontrol dostupném na internetových stránkách ministerstva po dobu 3 let název a identifikační číslo právnické osoby nebo jméno, případně jména, a příjmení, případně obchodní firmu a identifikační číslo podnikající fyzické osoby a výsledek kontroly. Výsledkem kontroly se rozumí údaj „dovozce splnil povinnosti stanovené nařízením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“ nebo „dovozce nesplnil povinnosti stanovené nařízením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/>
        <w:t xml:space="preserve">“.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Ministerstvo uchovává záznamy o kontrolách po dobu 5 let od ukončení kontroly.</w:t>
      </w:r>
    </w:p>
    <w:p>
      <w:pPr>
        <w:pStyle w:val="Heading1"/>
      </w:pPr>
      <w:r>
        <w:rPr>
          <w:b/>
          <w:bCs/>
        </w:rPr>
        <w:t xml:space="preserve">Přestupky</w:t>
      </w:r>
    </w:p>
    <w:p>
      <w:pPr>
        <w:pStyle w:val="Heading2"/>
      </w:pPr>
      <w:r>
        <w:rPr>
          <w:b/>
          <w:bCs/>
        </w:rPr>
        <w:t xml:space="preserve">§ 6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Fyzická, právnická nebo podnikající fyzická osoba uvedená v čl. 11 nařízení Rady </w:t>
      </w:r>
      <w:hyperlink r:id="rId7" w:history="1">
        <w:r>
          <w:rPr>
            <w:color w:val="darkblue"/>
            <w:u w:val="single"/>
          </w:rPr>
          <w:t xml:space="preserve">(ES) č. 2271/96</w:t>
        </w:r>
      </w:hyperlink>
      <w:r>
        <w:rPr/>
        <w:t xml:space="preserve">, která provádí operace v mezinárodním obchodu nebo pohybu kapitálu a související obchodní činnosti mezi Evropskou unií a třetími zeměmi, se dopustí přestupku tím, že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neuvědomí Evropskou komisi nebo ministerstvo o skutečnostech uvedených v čl. 2 nařízení Rady </w:t>
      </w:r>
      <w:hyperlink r:id="rId7" w:history="1">
        <w:r>
          <w:rPr>
            <w:color w:val="darkblue"/>
            <w:u w:val="single"/>
          </w:rPr>
          <w:t xml:space="preserve">(ES) č. 2271/96</w:t>
        </w:r>
      </w:hyperlink>
      <w:r>
        <w:rPr/>
        <w:t xml:space="preserve"> nebo neposkytne Evropské komisi nebo ministerstvu všechny související informace,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poruší povinnost uvedenou v čl. 5 nařízení Rady </w:t>
      </w:r>
      <w:hyperlink r:id="rId7" w:history="1">
        <w:r>
          <w:rPr>
            <w:color w:val="darkblue"/>
            <w:u w:val="single"/>
          </w:rPr>
          <w:t xml:space="preserve">(ES) č. 2271/96</w:t>
        </w:r>
      </w:hyperlink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Za přestupek podle odstavce 1 lze uložit pokutu do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150 000 Kč, jde-li o přestupek podle odstavce 1 písm. a),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450 000 Kč, jde-li o přestupek podle odstavce 1 písm. b).</w:t>
      </w:r>
    </w:p>
    <w:p>
      <w:pPr>
        <w:pStyle w:val="Heading2"/>
      </w:pPr>
      <w:r>
        <w:rPr>
          <w:b/>
          <w:bCs/>
        </w:rPr>
        <w:t xml:space="preserve">§ 7</w:t>
      </w:r>
    </w:p>
    <w:p>
      <w:pPr>
        <w:ind w:left="0" w:right="0"/>
      </w:pPr>
      <w:r>
        <w:rPr/>
        <w:t xml:space="preserve">Přestupky podle tohoto zákona projednává ministerstvo.</w:t>
      </w:r>
    </w:p>
    <w:p>
      <w:pPr>
        <w:pStyle w:val="Heading1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Tento zákon nabývá účinnosti patnáctým dnem po 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Vondráček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Babiš</w:t>
      </w:r>
      <w:r>
        <w:rPr/>
        <w:t xml:space="preserve"> v. r.</w:t>
      </w:r>
    </w:p>
    <w:p>
      <w:pPr>
        <w:spacing w:after="200"/>
      </w:pPr>
      <w:pPr>
        <w:rPr/>
      </w:pPr>
    </w:p>
    <w:p>
      <w:pPr/>
      <w:r>
        <w:pict>
          <v:shape id="_x0000_s106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>
          <w:sz w:val="19.200000000000003"/>
          <w:szCs w:val="19.200000000000003"/>
        </w:rPr>
        <w:t xml:space="preserve"> ze dne 17. května 2017, kterým se stanoví povinnosti náležité péče v dodavatelském řetězci pro unijní dovozce cínu, tantalu a wolframu, jejich rud a zlata pocházejících z oblastí postižených konfliktem a vysoce rizikových oblastí.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Nařízení Rady </w:t>
      </w:r>
      <w:hyperlink r:id="rId7" w:history="1">
        <w:r>
          <w:rPr>
            <w:color w:val="darkblue"/>
            <w:u w:val="single"/>
          </w:rPr>
          <w:t xml:space="preserve">(ES) č. 2271/96</w:t>
        </w:r>
      </w:hyperlink>
      <w:r>
        <w:rPr>
          <w:sz w:val="19.200000000000003"/>
          <w:szCs w:val="19.200000000000003"/>
        </w:rPr>
        <w:t xml:space="preserve"> ze dne 22. listopadu 1996 o ochraně proti účinkům právních předpisů přijatých určitou třetí zemí uplatňovaných mimo její území, jakož i proti účinkům opatření na nich založených nebo z nich vyplývajících, v platném znění.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r>
        <w:rPr>
          <w:sz w:val="19.200000000000003"/>
          <w:szCs w:val="19.200000000000003"/>
        </w:rPr>
        <w:t xml:space="preserve">Čl. 2 písm. l) nařízení Evropského parlamentu a Rady </w:t>
      </w:r>
      <w:hyperlink r:id="rId8" w:history="1">
        <w:r>
          <w:rPr>
            <w:color w:val="darkblue"/>
            <w:u w:val="single"/>
          </w:rPr>
          <w:t xml:space="preserve">(EU) 2017/821</w:t>
        </w:r>
      </w:hyperlink>
      <w:r>
        <w:rPr>
          <w:sz w:val="19.200000000000003"/>
          <w:szCs w:val="19.200000000000003"/>
        </w:rPr>
        <w:t xml:space="preserve">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151/2021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31996R2271" TargetMode="External"/><Relationship Id="rId8" Type="http://schemas.openxmlformats.org/officeDocument/2006/relationships/hyperlink" Target="https://esipa.cz/sbirka/sbsrv.dll/sb?DR=SB&amp;CP=32017R082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151/2021 Sb. - původní znění</dc:title>
  <dc:description>Zákon o provádění zvláštních režimů v oblasti zahraničního obchodu</dc:description>
  <dc:subject/>
  <cp:keywords/>
  <cp:category/>
  <cp:lastModifiedBy/>
  <dcterms:created xsi:type="dcterms:W3CDTF">2021-04-15T00:00:00+02:00</dcterms:created>
  <dcterms:modified xsi:type="dcterms:W3CDTF">2021-04-01T02:01:49+02:00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