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17. března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505/1990 Sb.</w:t>
        </w:r>
      </w:hyperlink>
      <w:r>
        <w:rPr>
          <w:b/>
          <w:bCs/>
        </w:rPr>
        <w:t xml:space="preserve">, o metrologii,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505/1990 Sb.</w:t>
        </w:r>
      </w:hyperlink>
      <w:r>
        <w:rPr/>
        <w:t xml:space="preserve">, o metrologii, ve znění zákona č. </w:t>
      </w:r>
      <w:hyperlink r:id="rId8" w:history="1">
        <w:r>
          <w:rPr>
            <w:color w:val="darkblue"/>
            <w:u w:val="single"/>
          </w:rPr>
          <w:t xml:space="preserve">4/1993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119/2000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13/2002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137/2002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226/2003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444/2005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481/2008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223/2009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155/2010 Sb.</w:t>
        </w:r>
      </w:hyperlink>
      <w:r>
        <w:rPr/>
        <w:t xml:space="preserve">, zákona č. </w:t>
      </w:r>
      <w:hyperlink r:id="rId17" w:history="1">
        <w:r>
          <w:rPr>
            <w:color w:val="darkblue"/>
            <w:u w:val="single"/>
          </w:rPr>
          <w:t xml:space="preserve">18/2012 Sb.</w:t>
        </w:r>
      </w:hyperlink>
      <w:r>
        <w:rPr/>
        <w:t xml:space="preserve">, zákona č. </w:t>
      </w:r>
      <w:hyperlink r:id="rId18" w:history="1">
        <w:r>
          <w:rPr>
            <w:color w:val="darkblue"/>
            <w:u w:val="single"/>
          </w:rPr>
          <w:t xml:space="preserve">85/2015 Sb.</w:t>
        </w:r>
      </w:hyperlink>
      <w:r>
        <w:rPr/>
        <w:t xml:space="preserve">, zákona č. </w:t>
      </w:r>
      <w:hyperlink r:id="rId19" w:history="1">
        <w:r>
          <w:rPr>
            <w:color w:val="darkblue"/>
            <w:u w:val="single"/>
          </w:rPr>
          <w:t xml:space="preserve">264/2016 Sb.</w:t>
        </w:r>
      </w:hyperlink>
      <w:r>
        <w:rPr/>
        <w:t xml:space="preserve"> a zákona č. </w:t>
      </w:r>
      <w:hyperlink r:id="rId20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odstavec 2 včetně poznámky pod čarou č. 7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Základními měřicími jednotkami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 jsou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jednotka času - sekunda (s),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jednotka délky - metr (m),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jednotka hmotnosti - kilogram (kg),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jednotka elektrického proudu - ampér (A),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jednotka termodynamické teploty - kelvin (K),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jednotka látkového množství - mol (mol),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jednotka svítivosti - kandela (cd).</w:t>
      </w:r>
    </w:p>
    <w:p>
      <w:pPr>
        <w:spacing w:after="200"/>
      </w:pPr>
      <w:pPr>
        <w:rPr/>
      </w:pPr>
    </w:p>
    <w:p>
      <w:pPr/>
      <w:r>
        <w:pict>
          <v:shape id="_x0000_s102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r>
        <w:rPr>
          <w:sz w:val="19.200000000000003"/>
          <w:szCs w:val="19.200000000000003"/>
        </w:rPr>
        <w:t xml:space="preserve">Směrnice Komise </w:t>
      </w:r>
      <w:hyperlink r:id="rId22" w:history="1">
        <w:r>
          <w:rPr>
            <w:color w:val="darkblue"/>
            <w:u w:val="single"/>
          </w:rPr>
          <w:t xml:space="preserve">(EU) 2019/1258</w:t>
        </w:r>
      </w:hyperlink>
      <w:r>
        <w:rPr>
          <w:sz w:val="19.200000000000003"/>
          <w:szCs w:val="19.200000000000003"/>
        </w:rPr>
        <w:t xml:space="preserve"> ze dne 23. července 2019, kterou se přizpůsobuje technickému pokroku příloha směrnice Rady </w:t>
      </w:r>
      <w:hyperlink r:id="rId23" w:history="1">
        <w:r>
          <w:rPr>
            <w:color w:val="darkblue"/>
            <w:u w:val="single"/>
          </w:rPr>
          <w:t xml:space="preserve">80/181/EHS</w:t>
        </w:r>
      </w:hyperlink>
      <w:r>
        <w:rPr>
          <w:sz w:val="19.200000000000003"/>
          <w:szCs w:val="19.200000000000003"/>
        </w:rPr>
        <w:t xml:space="preserve">, pokud jde o definice základních jednotek SI.“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doplňuje odstavec 3,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Základní měřicí jednotky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 jsou definovány takto: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sekunda je definována stanovením pevné číselné hodnoty frekvence Δ</w:t>
      </w:r>
      <w:r>
        <w:rPr>
          <w:vertAlign w:val="subscript"/>
        </w:rPr>
        <w:t xml:space="preserve">Cs</w:t>
      </w:r>
      <w:r>
        <w:rPr/>
        <w:t xml:space="preserve">, přechodu mezi dvěma hladinami velmi jemné struktury základního stavu atomu cesia 133 nacházejícího se v klidovém stavu, která je rovna 9 192 631 770, je-li vyjádřena v jednotce Hz, která je rovna s</w:t>
      </w:r>
      <w:r>
        <w:rPr>
          <w:vertAlign w:val="superscript"/>
        </w:rPr>
        <w:t xml:space="preserve">–1</w:t>
      </w:r>
      <w:r>
        <w:rPr/>
        <w:t xml:space="preserve">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metr je definován stanovením pevné číselné hodnoty rychlosti světla ve vakuu </w:t>
      </w:r>
      <w:r>
        <w:rPr>
          <w:i/>
          <w:iCs/>
        </w:rPr>
        <w:t xml:space="preserve">c</w:t>
      </w:r>
      <w:r>
        <w:rPr/>
        <w:t xml:space="preserve">, která je rovna 299 792 458, je-li vyjádřena v jednotce m/s, kde sekunda je definována prostřednictvím Δ</w:t>
      </w:r>
      <w:r>
        <w:rPr>
          <w:vertAlign w:val="subscript"/>
        </w:rPr>
        <w:t xml:space="preserve">Cs</w:t>
      </w:r>
      <w:r>
        <w:rPr/>
        <w:t xml:space="preserve">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kilogram je definován stanovením pevné číselné hodnoty Planckovy konstanty </w:t>
      </w:r>
      <w:r>
        <w:rPr>
          <w:i/>
          <w:iCs/>
        </w:rPr>
        <w:t xml:space="preserve">h</w:t>
      </w:r>
      <w:r>
        <w:rPr/>
        <w:t xml:space="preserve">, která je rovna 6,626 070 15 × 10</w:t>
      </w:r>
      <w:r>
        <w:rPr>
          <w:vertAlign w:val="superscript"/>
        </w:rPr>
        <w:t xml:space="preserve">–34</w:t>
      </w:r>
      <w:r>
        <w:rPr/>
        <w:t xml:space="preserve">, je-li vyjádřena v jednotce J s, která je rovna kg m</w:t>
      </w:r>
      <w:r>
        <w:rPr>
          <w:vertAlign w:val="superscript"/>
        </w:rPr>
        <w:t xml:space="preserve">2</w:t>
      </w:r>
      <w:r>
        <w:rPr/>
        <w:t xml:space="preserve"> s</w:t>
      </w:r>
      <w:r>
        <w:rPr>
          <w:vertAlign w:val="superscript"/>
        </w:rPr>
        <w:t xml:space="preserve">–1</w:t>
      </w:r>
      <w:r>
        <w:rPr/>
        <w:t xml:space="preserve">, kde metr a sekunda jsou definovány prostřednictvím </w:t>
      </w:r>
      <w:r>
        <w:rPr>
          <w:i/>
          <w:iCs/>
        </w:rPr>
        <w:t xml:space="preserve">c</w:t>
      </w:r>
      <w:r>
        <w:rPr/>
        <w:t xml:space="preserve"> a Δ</w:t>
      </w:r>
      <w:r>
        <w:rPr>
          <w:vertAlign w:val="subscript"/>
        </w:rPr>
        <w:t xml:space="preserve">Cs</w:t>
      </w:r>
      <w:r>
        <w:rPr/>
        <w:t xml:space="preserve">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ampér je definován stanovením pevné číselné hodnoty elementárního náboje </w:t>
      </w:r>
      <w:r>
        <w:rPr>
          <w:i/>
          <w:iCs/>
        </w:rPr>
        <w:t xml:space="preserve">e</w:t>
      </w:r>
      <w:r>
        <w:rPr/>
        <w:t xml:space="preserve">, která je rovna 1,602 176 634 × 10</w:t>
      </w:r>
      <w:r>
        <w:rPr>
          <w:vertAlign w:val="superscript"/>
        </w:rPr>
        <w:t xml:space="preserve">–19</w:t>
      </w:r>
      <w:r>
        <w:rPr/>
        <w:t xml:space="preserve">, je-li vyjádřena v jednotce C, která je rovna A s, kde sekunda je definována prostřednictvím Δ</w:t>
      </w:r>
      <w:r>
        <w:rPr>
          <w:vertAlign w:val="subscript"/>
        </w:rPr>
        <w:t xml:space="preserve">Cs</w:t>
      </w:r>
      <w:r>
        <w:rPr/>
        <w:t xml:space="preserve">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kelvin je definován stanovením pevné číselné hodnoty Boltzmannovy konstanty </w:t>
      </w:r>
      <w:r>
        <w:rPr>
          <w:i/>
          <w:iCs/>
        </w:rPr>
        <w:t xml:space="preserve">k</w:t>
      </w:r>
      <w:r>
        <w:rPr/>
        <w:t xml:space="preserve">, která je rovna 1,380 649 × 10</w:t>
      </w:r>
      <w:r>
        <w:rPr>
          <w:vertAlign w:val="superscript"/>
        </w:rPr>
        <w:t xml:space="preserve">–23</w:t>
      </w:r>
      <w:r>
        <w:rPr/>
        <w:t xml:space="preserve">, je-li vyjádřena v jednotce J K</w:t>
      </w:r>
      <w:r>
        <w:rPr>
          <w:vertAlign w:val="superscript"/>
        </w:rPr>
        <w:t xml:space="preserve">–1</w:t>
      </w:r>
      <w:r>
        <w:rPr/>
        <w:t xml:space="preserve">, která je rovna kg m</w:t>
      </w:r>
      <w:r>
        <w:rPr>
          <w:vertAlign w:val="superscript"/>
        </w:rPr>
        <w:t xml:space="preserve">2</w:t>
      </w:r>
      <w:r>
        <w:rPr/>
        <w:t xml:space="preserve"> s</w:t>
      </w:r>
      <w:r>
        <w:rPr>
          <w:vertAlign w:val="superscript"/>
        </w:rPr>
        <w:t xml:space="preserve">–2</w:t>
      </w:r>
      <w:r>
        <w:rPr/>
        <w:t xml:space="preserve"> K</w:t>
      </w:r>
      <w:r>
        <w:rPr>
          <w:vertAlign w:val="superscript"/>
        </w:rPr>
        <w:t xml:space="preserve">–1</w:t>
      </w:r>
      <w:r>
        <w:rPr/>
        <w:t xml:space="preserve">, kde kilogram, metr a sekunda jsou definovány prostřednictvím </w:t>
      </w:r>
      <w:r>
        <w:rPr>
          <w:i/>
          <w:iCs/>
        </w:rPr>
        <w:t xml:space="preserve">h</w:t>
      </w:r>
      <w:r>
        <w:rPr/>
        <w:t xml:space="preserve">, </w:t>
      </w:r>
      <w:r>
        <w:rPr>
          <w:i/>
          <w:iCs/>
        </w:rPr>
        <w:t xml:space="preserve">c</w:t>
      </w:r>
      <w:r>
        <w:rPr/>
        <w:t xml:space="preserve"> a Δ</w:t>
      </w:r>
      <w:r>
        <w:rPr>
          <w:vertAlign w:val="subscript"/>
        </w:rPr>
        <w:t xml:space="preserve">Cs</w:t>
      </w:r>
      <w:r>
        <w:rPr/>
        <w:t xml:space="preserve">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jeden mol obsahuje přesně 6,022 140 76 × 10</w:t>
      </w:r>
      <w:r>
        <w:rPr>
          <w:vertAlign w:val="superscript"/>
        </w:rPr>
        <w:t xml:space="preserve">23</w:t>
      </w:r>
      <w:r>
        <w:rPr/>
        <w:t xml:space="preserve"> elementárních entit; toto číslo je pevná číselná hodnota Avogadrovy konstanty (</w:t>
      </w:r>
      <w:r>
        <w:rPr>
          <w:i/>
          <w:iCs/>
        </w:rPr>
        <w:t xml:space="preserve">N</w:t>
      </w:r>
      <w:r>
        <w:rPr>
          <w:vertAlign w:val="subscript"/>
        </w:rPr>
        <w:t xml:space="preserve">A</w:t>
      </w:r>
      <w:r>
        <w:rPr/>
        <w:t xml:space="preserve">), je-li vyjádřena v jednotce mol</w:t>
      </w:r>
      <w:r>
        <w:rPr>
          <w:vertAlign w:val="superscript"/>
        </w:rPr>
        <w:t xml:space="preserve">–1</w:t>
      </w:r>
      <w:r>
        <w:rPr/>
        <w:t xml:space="preserve">, a nazývá se Avogadrovo číslo; látkové množství (n) systému je mírou počtu specifikovaných elementárních entit; elementární entitou může být atom, molekula, iont, elektron, jakákoli jiná částice nebo specifikované seskupení částic;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kandela je definována stanovením pevné číselné hodnoty světelné účinnosti monochromatického záření o frekvenci 540 × 10</w:t>
      </w:r>
      <w:r>
        <w:rPr>
          <w:vertAlign w:val="superscript"/>
        </w:rPr>
        <w:t xml:space="preserve">12</w:t>
      </w:r>
      <w:r>
        <w:rPr/>
        <w:t xml:space="preserve"> Hz (</w:t>
      </w:r>
      <w:r>
        <w:rPr>
          <w:i/>
          <w:iCs/>
        </w:rPr>
        <w:t xml:space="preserve">K</w:t>
      </w:r>
      <w:r>
        <w:rPr>
          <w:vertAlign w:val="subscript"/>
        </w:rPr>
        <w:t xml:space="preserve">cd</w:t>
      </w:r>
      <w:r>
        <w:rPr/>
        <w:t xml:space="preserve">), která je rovna 683, je-li vyjádřena v jednotce lm W</w:t>
      </w:r>
      <w:r>
        <w:rPr>
          <w:vertAlign w:val="superscript"/>
        </w:rPr>
        <w:t xml:space="preserve">–1</w:t>
      </w:r>
      <w:r>
        <w:rPr/>
        <w:t xml:space="preserve">, která je rovna cd sr W</w:t>
      </w:r>
      <w:r>
        <w:rPr>
          <w:vertAlign w:val="superscript"/>
        </w:rPr>
        <w:t xml:space="preserve">–1</w:t>
      </w:r>
      <w:r>
        <w:rPr/>
        <w:t xml:space="preserve"> nebo cd sr kg</w:t>
      </w:r>
      <w:r>
        <w:rPr>
          <w:vertAlign w:val="superscript"/>
        </w:rPr>
        <w:t xml:space="preserve">–1 </w:t>
      </w:r>
      <w:r>
        <w:rPr/>
        <w:t xml:space="preserve"> m</w:t>
      </w:r>
      <w:r>
        <w:rPr>
          <w:vertAlign w:val="superscript"/>
        </w:rPr>
        <w:t xml:space="preserve">–2</w:t>
      </w:r>
      <w:r>
        <w:rPr/>
        <w:t xml:space="preserve"> s</w:t>
      </w:r>
      <w:r>
        <w:rPr>
          <w:vertAlign w:val="superscript"/>
        </w:rPr>
        <w:t xml:space="preserve">3</w:t>
      </w:r>
      <w:r>
        <w:rPr/>
        <w:t xml:space="preserve">, kde kilogram, metr a sekunda jsou definovány prostřednictvím </w:t>
      </w:r>
      <w:r>
        <w:rPr>
          <w:i/>
          <w:iCs/>
        </w:rPr>
        <w:t xml:space="preserve">h</w:t>
      </w:r>
      <w:r>
        <w:rPr/>
        <w:t xml:space="preserve">, </w:t>
      </w:r>
      <w:r>
        <w:rPr>
          <w:i/>
          <w:iCs/>
        </w:rPr>
        <w:t xml:space="preserve">c</w:t>
      </w:r>
      <w:r>
        <w:rPr/>
        <w:t xml:space="preserve"> a Δ</w:t>
      </w:r>
      <w:r>
        <w:rPr>
          <w:vertAlign w:val="subscript"/>
        </w:rPr>
        <w:t xml:space="preserve">Cs</w:t>
      </w:r>
      <w:r>
        <w:rPr/>
        <w:t xml:space="preserve">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dnem 13. června 2020.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Vondráček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24"/>
      <w:footerReference w:type="default" r:id="rId2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152/2021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0s505" TargetMode="External"/><Relationship Id="rId8" Type="http://schemas.openxmlformats.org/officeDocument/2006/relationships/hyperlink" Target="https://esipa.cz/sbirka/sbsrv.dll/sb?DR=SB&amp;CP=1993s004" TargetMode="External"/><Relationship Id="rId9" Type="http://schemas.openxmlformats.org/officeDocument/2006/relationships/hyperlink" Target="https://esipa.cz/sbirka/sbsrv.dll/sb?DR=SB&amp;CP=2000s119" TargetMode="External"/><Relationship Id="rId10" Type="http://schemas.openxmlformats.org/officeDocument/2006/relationships/hyperlink" Target="https://esipa.cz/sbirka/sbsrv.dll/sb?DR=SB&amp;CP=2002s013" TargetMode="External"/><Relationship Id="rId11" Type="http://schemas.openxmlformats.org/officeDocument/2006/relationships/hyperlink" Target="https://esipa.cz/sbirka/sbsrv.dll/sb?DR=SB&amp;CP=2002s137" TargetMode="External"/><Relationship Id="rId12" Type="http://schemas.openxmlformats.org/officeDocument/2006/relationships/hyperlink" Target="https://esipa.cz/sbirka/sbsrv.dll/sb?DR=SB&amp;CP=2003s226" TargetMode="External"/><Relationship Id="rId13" Type="http://schemas.openxmlformats.org/officeDocument/2006/relationships/hyperlink" Target="https://esipa.cz/sbirka/sbsrv.dll/sb?DR=SB&amp;CP=2005s444" TargetMode="External"/><Relationship Id="rId14" Type="http://schemas.openxmlformats.org/officeDocument/2006/relationships/hyperlink" Target="https://esipa.cz/sbirka/sbsrv.dll/sb?DR=SB&amp;CP=2008s481" TargetMode="External"/><Relationship Id="rId15" Type="http://schemas.openxmlformats.org/officeDocument/2006/relationships/hyperlink" Target="https://esipa.cz/sbirka/sbsrv.dll/sb?DR=SB&amp;CP=2009s223" TargetMode="External"/><Relationship Id="rId16" Type="http://schemas.openxmlformats.org/officeDocument/2006/relationships/hyperlink" Target="https://esipa.cz/sbirka/sbsrv.dll/sb?DR=SB&amp;CP=2010s155" TargetMode="External"/><Relationship Id="rId17" Type="http://schemas.openxmlformats.org/officeDocument/2006/relationships/hyperlink" Target="https://esipa.cz/sbirka/sbsrv.dll/sb?DR=SB&amp;CP=2012s018" TargetMode="External"/><Relationship Id="rId18" Type="http://schemas.openxmlformats.org/officeDocument/2006/relationships/hyperlink" Target="https://esipa.cz/sbirka/sbsrv.dll/sb?DR=SB&amp;CP=2015s085" TargetMode="External"/><Relationship Id="rId19" Type="http://schemas.openxmlformats.org/officeDocument/2006/relationships/hyperlink" Target="https://esipa.cz/sbirka/sbsrv.dll/sb?DR=SB&amp;CP=2016s264" TargetMode="External"/><Relationship Id="rId20" Type="http://schemas.openxmlformats.org/officeDocument/2006/relationships/hyperlink" Target="https://esipa.cz/sbirka/sbsrv.dll/sb?DR=SB&amp;CP=2017s183" TargetMode="External"/><Relationship Id="rId21" Type="http://schemas.openxmlformats.org/officeDocument/2006/relationships/hyperlink" Target="https://esipa.cz/sbirka/sbsrv.dll/sb?DR=AZ&amp;CP=1990s505-2017s183#C01_P002" TargetMode="External"/><Relationship Id="rId22" Type="http://schemas.openxmlformats.org/officeDocument/2006/relationships/hyperlink" Target="https://esipa.cz/sbirka/sbsrv.dll/sb?DR=SB&amp;CP=32019L1258" TargetMode="External"/><Relationship Id="rId23" Type="http://schemas.openxmlformats.org/officeDocument/2006/relationships/hyperlink" Target="https://esipa.cz/sbirka/sbsrv.dll/sb?DR=SB&amp;CP=31980L0181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152/2021 Sb. - původní znění</dc:title>
  <dc:description>Zákon, kterým se mění zákon č. 505/1990 Sb., o metrologii, ve znění pozdějších předpisů</dc:description>
  <dc:subject/>
  <cp:keywords/>
  <cp:category/>
  <cp:lastModifiedBy/>
  <dcterms:created xsi:type="dcterms:W3CDTF">2020-06-13T00:00:00+02:00</dcterms:created>
  <dcterms:modified xsi:type="dcterms:W3CDTF">2021-04-01T10:51:00+02:00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