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15. února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jednoznačném označení identifikujícím subjekt převádějící palnou zbraň na trvalé civilní použití</w:t>
      </w:r>
    </w:p>
    <w:p/>
    <w:p>
      <w:pPr>
        <w:jc w:val="left"/>
        <w:ind w:left="0" w:right="0"/>
        <w:spacing w:after="0"/>
      </w:pPr>
      <w:r>
        <w:rPr/>
        <w:t xml:space="preserve">Vláda nařizuje k provedení </w:t>
      </w:r>
      <w:hyperlink r:id="rId7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119/2002 Sb.</w:t>
        </w:r>
      </w:hyperlink>
      <w:r>
        <w:rPr/>
        <w:t xml:space="preserve">, o střelných zbraních a střelivu (zákon o zbraních), ve znění zákona č. </w:t>
      </w:r>
      <w:hyperlink r:id="rId9" w:history="1">
        <w:r>
          <w:rPr>
            <w:color w:val="darkblue"/>
            <w:u w:val="single"/>
          </w:rPr>
          <w:t xml:space="preserve">13/2021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Toto nařízení upravuje pravidla pro vytvoření jednoznačného označení identifikujícího subjekt převádějící palnou zbraň podle </w:t>
      </w:r>
      <w:hyperlink r:id="rId7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zákona o zbraních (dále jen „jednoznačné označení“).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Podoba jednoznačného označení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Jednoznačné označení tvoří zkratka subjektu převádějícího palnou zbraň, po které bezprostředně bez mezery následuje rok uskutečnění takového převodu.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Zkratku subjektu převádějícího palnou zbraň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představuje v případě obce text „CZ“, po kterém bezprostředně bez mezery následuje poštovní směrovací číslo adresy, odkud je palná zbraň převáděna, popřípadě obecního úřadu,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představuje v případě ozbrojených sil nebo sboru jiného státu dvoumístný alfabetický kód země z číselníku zemí (ČZEM)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 Českého statistického úřadu,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stanoví v případě subjektů neuvedených v písmenu a) nebo b) příloha k tomuto nařízení.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března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1. místopředseda vlády a ministr vnitra: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p>
      <w:pPr>
        <w:spacing w:after="200"/>
      </w:pPr>
      <w:pPr>
        <w:rPr/>
      </w:pPr>
    </w:p>
    <w:p>
      <w:pPr/>
      <w:r>
        <w:pict>
          <v:shape id="_x0000_s1026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Sdělení Českého statistického úřadu č. </w:t>
      </w:r>
      <w:hyperlink r:id="rId10" w:history="1">
        <w:r>
          <w:rPr>
            <w:color w:val="darkblue"/>
            <w:u w:val="single"/>
          </w:rPr>
          <w:t xml:space="preserve">489/2003 Sb.</w:t>
        </w:r>
      </w:hyperlink>
      <w:r>
        <w:rPr>
          <w:sz w:val="19.200000000000003"/>
          <w:szCs w:val="19.200000000000003"/>
        </w:rPr>
        <w:t xml:space="preserve">, o vydání číselníku zemí (ČZEM), ve znění pozdějších předpisů.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Příloha k nařízení vlády č. 79/2021 Sb.</w:t>
      </w:r>
      <w:r>
        <w:rPr>
          <w:rStyle w:val="hidden"/>
        </w:rPr>
        <w:t xml:space="preserve"> -</w:t>
      </w:r>
      <w:br/>
      <w:r>
        <w:rPr/>
        <w:t xml:space="preserve">Subjekty převádějící palnou zbraň podle § 2 odst. 2 písm. c) a jejich zkratky</w:t>
      </w:r>
    </w:p>
    <w:p>
      <w:pPr>
        <w:jc w:val="center"/>
      </w:pPr>
      <w:hyperlink r:id="rId11" w:history="1">
        <w:r>
          <w:rPr>
            <w:color w:val="blue"/>
          </w:rPr>
          <w:t xml:space="preserve">Příloha PDF (74 kB)</w:t>
        </w:r>
      </w:hyperlink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79/2021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2s119-2021s013#P42A" TargetMode="External"/><Relationship Id="rId8" Type="http://schemas.openxmlformats.org/officeDocument/2006/relationships/hyperlink" Target="https://esipa.cz/sbirka/sbsrv.dll/sb?DR=SB&amp;CP=2002s119" TargetMode="External"/><Relationship Id="rId9" Type="http://schemas.openxmlformats.org/officeDocument/2006/relationships/hyperlink" Target="https://esipa.cz/sbirka/sbsrv.dll/sb?DR=SB&amp;CP=2021s013" TargetMode="External"/><Relationship Id="rId10" Type="http://schemas.openxmlformats.org/officeDocument/2006/relationships/hyperlink" Target="https://esipa.cz/sbirka/sbsrv.dll/sb?DR=SB&amp;CP=2003s489" TargetMode="External"/><Relationship Id="rId11" Type="http://schemas.openxmlformats.org/officeDocument/2006/relationships/hyperlink" Target="https://esipa.cz/soubor/434fafd7272721c03423c2edb6d178e89cc3f45b4d4fbcbfde9e1226750a1a5b63ffb88f1ca05c4cf0420e4f85d7b229fd283f67b099586d98021aa827d9a7fd/2021s079p01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79/2021 Sb. - původní znění</dc:title>
  <dc:description>Nařízení vlády o jednoznačném označení identifikujícím subjekt převádějící palnou zbraň na trvalé civilní použití</dc:description>
  <dc:subject/>
  <cp:keywords/>
  <cp:category/>
  <cp:lastModifiedBy/>
  <dcterms:created xsi:type="dcterms:W3CDTF">2021-03-01T00:00:00+01:00</dcterms:created>
  <dcterms:modified xsi:type="dcterms:W3CDTF">2024-04-18T10:00:11+02:00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