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80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16. února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54/2004 Sb.</w:t>
        </w:r>
      </w:hyperlink>
      <w:r>
        <w:rPr>
          <w:b/>
          <w:bCs/>
        </w:rPr>
        <w:t xml:space="preserve">, o potravinách určených pro zvláštní výživu a o způsobu jejich použití,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zdravotnictví stanoví podle </w:t>
      </w:r>
      <w:hyperlink r:id="rId8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odst. 1 písm. a) a i) zákona č. </w:t>
      </w:r>
      <w:hyperlink r:id="rId9" w:history="1">
        <w:r>
          <w:rPr>
            <w:color w:val="darkblue"/>
            <w:u w:val="single"/>
          </w:rPr>
          <w:t xml:space="preserve">110/1997 Sb.</w:t>
        </w:r>
      </w:hyperlink>
      <w:r>
        <w:rPr/>
        <w:t xml:space="preserve">, o potravinách a tabákových výrobcích a o změně a doplnění některých souvisejících zákonů, ve znění zákona č. </w:t>
      </w:r>
      <w:hyperlink r:id="rId10" w:history="1">
        <w:r>
          <w:rPr>
            <w:color w:val="darkblue"/>
            <w:u w:val="single"/>
          </w:rPr>
          <w:t xml:space="preserve">306/2000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274/2003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316/2004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120/2008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139/2014 Sb.</w:t>
        </w:r>
      </w:hyperlink>
      <w:r>
        <w:rPr/>
        <w:t xml:space="preserve"> a zákona č. </w:t>
      </w:r>
      <w:hyperlink r:id="rId15" w:history="1">
        <w:r>
          <w:rPr>
            <w:color w:val="darkblue"/>
            <w:u w:val="single"/>
          </w:rPr>
          <w:t xml:space="preserve">180/2016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54/2004 Sb.</w:t>
        </w:r>
      </w:hyperlink>
      <w:r>
        <w:rPr/>
        <w:t xml:space="preserve">, o potravinách určených pro zvláštní výživu a o způsobu jejich použití, ve znění vyhlášky č. </w:t>
      </w:r>
      <w:hyperlink r:id="rId16" w:history="1">
        <w:r>
          <w:rPr>
            <w:color w:val="darkblue"/>
            <w:u w:val="single"/>
          </w:rPr>
          <w:t xml:space="preserve">402/2006 Sb.</w:t>
        </w:r>
      </w:hyperlink>
      <w:r>
        <w:rPr/>
        <w:t xml:space="preserve">, vyhlášky č. </w:t>
      </w:r>
      <w:hyperlink r:id="rId17" w:history="1">
        <w:r>
          <w:rPr>
            <w:color w:val="darkblue"/>
            <w:u w:val="single"/>
          </w:rPr>
          <w:t xml:space="preserve">473/2006 Sb.</w:t>
        </w:r>
      </w:hyperlink>
      <w:r>
        <w:rPr/>
        <w:t xml:space="preserve">, vyhlášky č. </w:t>
      </w:r>
      <w:hyperlink r:id="rId18" w:history="1">
        <w:r>
          <w:rPr>
            <w:color w:val="darkblue"/>
            <w:u w:val="single"/>
          </w:rPr>
          <w:t xml:space="preserve">157/2008 Sb.</w:t>
        </w:r>
      </w:hyperlink>
      <w:r>
        <w:rPr/>
        <w:t xml:space="preserve">, vyhlášky č. </w:t>
      </w:r>
      <w:hyperlink r:id="rId19" w:history="1">
        <w:r>
          <w:rPr>
            <w:color w:val="darkblue"/>
            <w:u w:val="single"/>
          </w:rPr>
          <w:t xml:space="preserve">35/2012 Sb.</w:t>
        </w:r>
      </w:hyperlink>
      <w:r>
        <w:rPr/>
        <w:t xml:space="preserve">, vyhlášky č. </w:t>
      </w:r>
      <w:hyperlink r:id="rId20" w:history="1">
        <w:r>
          <w:rPr>
            <w:color w:val="darkblue"/>
            <w:u w:val="single"/>
          </w:rPr>
          <w:t xml:space="preserve">46/2014 Sb.</w:t>
        </w:r>
      </w:hyperlink>
      <w:r>
        <w:rPr/>
        <w:t xml:space="preserve"> a vyhlášky č. </w:t>
      </w:r>
      <w:hyperlink r:id="rId21" w:history="1">
        <w:r>
          <w:rPr>
            <w:color w:val="darkblue"/>
            <w:u w:val="single"/>
          </w:rPr>
          <w:t xml:space="preserve">39/2018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Poznámka pod čarou č. 1 zní:</w:t>
      </w:r>
    </w:p>
    <w:p>
      <w:pPr>
        <w:spacing w:after="200"/>
      </w:pPr>
      <w:pPr>
        <w:rPr/>
      </w:pPr>
    </w:p>
    <w:p>
      <w:pPr/>
      <w:r>
        <w:pict>
          <v:shape id="_x0000_s1013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„1)</w:t>
      </w:r>
      <w:r>
        <w:rPr/>
        <w:t xml:space="preserve">	</w:t>
      </w:r>
      <w:r>
        <w:rPr>
          <w:sz w:val="19.200000000000003"/>
          <w:szCs w:val="19.200000000000003"/>
        </w:rPr>
        <w:t xml:space="preserve">Směrnice Komise </w:t>
      </w:r>
      <w:hyperlink r:id="rId22" w:history="1">
        <w:r>
          <w:rPr>
            <w:color w:val="darkblue"/>
            <w:u w:val="single"/>
          </w:rPr>
          <w:t xml:space="preserve">2006/125/ES</w:t>
        </w:r>
      </w:hyperlink>
      <w:r>
        <w:rPr>
          <w:sz w:val="19.200000000000003"/>
          <w:szCs w:val="19.200000000000003"/>
        </w:rPr>
        <w:t xml:space="preserve"> ze dne 5. prosince 2006 o obilných a ostatních příkrmech pro kojence a malé děti (kodifikované znění).“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hyperlink r:id="rId23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zní:</w:t>
      </w:r>
    </w:p>
    <w:p>
      <w:pPr>
        <w:pStyle w:val="Heading2"/>
      </w:pPr>
      <w:r>
        <w:rPr>
          <w:b/>
          <w:bCs/>
        </w:rPr>
        <w:t xml:space="preserve">„§ 2</w:t>
      </w:r>
    </w:p>
    <w:p>
      <w:pPr>
        <w:ind w:left="560" w:right="0"/>
      </w:pPr>
      <w:r>
        <w:rPr/>
        <w:t xml:space="preserve">Pro účely této vyhlášky se rozlišují následující kategorie potravin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mléčná výživa malých dětí,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obilné příkrmy a potraviny pro malé děti,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potraviny s nízkým obsahem laktózy nebo bezlaktózové.“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Nadpis části druhé zní: „</w:t>
      </w:r>
      <w:r>
        <w:rPr>
          <w:b/>
          <w:bCs/>
        </w:rPr>
        <w:t xml:space="preserve">MLÉČNÁ VÝŽIVA MALÝCH DĚTÍ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hyperlink r:id="rId24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5</w:t>
      </w:r>
      <w:r>
        <w:rPr>
          <w:rStyle w:val="hidden"/>
        </w:rPr>
        <w:t xml:space="preserve"> -</w:t>
      </w:r>
      <w:br/>
      <w:r>
        <w:rPr/>
        <w:t xml:space="preserve">Požadavky na složení mléčné výživy malých dětí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Požadavky na použití vitaminů, minerálních látek a dalších látek jsou upraveny v příloze č. 3 k této vyhlášce.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Na požadavky na čistotu látek uvedených v příloze č. 3 k této vyhlášce se obdobně použije přímo použitelný předpis Evropské unie, kterým se stanoví specifikace potravinářských přídatných látek</w:t>
      </w:r>
      <w:r>
        <w:rPr>
          <w:vertAlign w:val="superscript"/>
        </w:rPr>
        <w:t xml:space="preserve">1e</w:t>
      </w:r>
      <w:r>
        <w:rPr/>
        <w:t xml:space="preserve">).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Mléčná výživa malých dětí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musí obsahovat potravinářské přídatné látky pouze podle přímo použitelného předpisu Evropské unie o potravinářských přídatných látkách</w:t>
      </w:r>
      <w:r>
        <w:rPr>
          <w:vertAlign w:val="superscript"/>
        </w:rPr>
        <w:t xml:space="preserve">2</w:t>
      </w:r>
      <w:r>
        <w:rPr/>
        <w:t xml:space="preserve">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musí splňovat mikrobiologické požadavky stanovené přímo použitelným předpisem Evropské unie o mikrobiologických kritériích pro potraviny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nesmí obsahovat rezidua pesticidů v množství překračujícím množství 0,01 mg/kg výrobku, jak je nabízen ke spotřebě, nebo po obnově podle pokynů výrobce, pro každý jednotlivý pesticid.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Pro výrobu mléčné výživy malých dětí se nesmí používat zemědělské produkty ošetřené pesticidy, které jsou upraveny v příloze č. 11 k této vyhlášce. Přitom za zemědělský produkt neošetřený těmito pesticidy se považuje produkt, v němž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obsah reziduí pesticidů upravených v tabulce č. 1 přílohy č. 11 k této vyhlášce nepřekročí hranici 0,003 mg/kg, která je považována za mez stanovitelnosti při stanovení obecně přijatelnými normalizovanými metodami zkoušení,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obsah reziduí pesticidů uvedených v tabulce č. 2 přílohy č. 11 k této vyhlášce nepřekročí hranici 0,003 mg/kg, která je považována za mez stanovitelnosti při stanovení obecně přijatelnými normalizovanými metodami zkoušení.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Pro výrobu mléčné výživy malých dětí musí být dodrženy zvláštní maximální limity reziduí pesticidů nebo metabolitů pesticidů, které jsou uvedeny v příloze č. 12 k této vyhlášce.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Obsah reziduí pesticidů a zvláštní maximální limity stanovené v odstavcích 4 a 5 se vztahují na potraviny, které jsou určené ke spotřebě nebo připravené k použití podle návodu výrobce.“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Poznámka pod čarou č. 1d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hyperlink r:id="rId2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6</w:t>
      </w:r>
      <w:r>
        <w:rPr>
          <w:rStyle w:val="hidden"/>
        </w:rPr>
        <w:t xml:space="preserve"> -</w:t>
      </w:r>
      <w:br/>
      <w:r>
        <w:rPr/>
        <w:t xml:space="preserve">Označování mléčné výživy malých dětí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Na obalu mléčné výživy malých dětí musí být uvedena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 názvu potraviny slova „mléčná výživa malých dětí“, jde-li o výživu malých dětí vyrobenou výhradně z bílkovin kravského nebo kozího mléka,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informace o tom, že by potravina měla tvořit pouze součást smíšené a vyvážené stravy malého dítěte.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U mléčné výživy malých dětí může označení kromě číselných údajů o množství vitaminů a minerálních látek obsahovat také vyjádření procentního podílu referenční hodnoty podle tabulky č. 2 přílohy č. 5 k této vyhlášce ve 100 ml výrobku připraveného k použití podle návodu výrobce.“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Poznámka pod čarou č. 3 zní:</w:t>
      </w:r>
    </w:p>
    <w:p>
      <w:pPr>
        <w:spacing w:after="200"/>
      </w:pPr>
      <w:pPr>
        <w:rPr/>
      </w:pPr>
    </w:p>
    <w:p>
      <w:pPr/>
      <w:r>
        <w:pict>
          <v:shape id="_x0000_s104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„3)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Komise </w:t>
      </w:r>
      <w:hyperlink r:id="rId26" w:history="1">
        <w:r>
          <w:rPr>
            <w:color w:val="darkblue"/>
            <w:u w:val="single"/>
          </w:rPr>
          <w:t xml:space="preserve">(ES) č. 2073/2005</w:t>
        </w:r>
      </w:hyperlink>
      <w:r>
        <w:rPr>
          <w:sz w:val="19.200000000000003"/>
          <w:szCs w:val="19.200000000000003"/>
        </w:rPr>
        <w:t xml:space="preserve"> ze dne 15. listopadu 2005 o mikrobiologických kritériích pro potraviny, v platném znění.“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Část čtvrtá se včetně nadpisu a poznámky pod čarou č. 7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Část pátá se včetně nadpisu a poznámky pod čarou č. 6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Přílohy č. 1 a 2 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Příloha č. 4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příloze č. 5 nadpis tabulky č. 2 zní „Mléčná výživa malých dětí“.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Příloha č. 6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Příloha č. 14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Příloha č. 15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Příloha č. 16 se zrušuje.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Jde-li o výrobu a uvádění na trh počáteční a pokračovací kojenecké výživy z hydrolyzovaných bílkovin, postupuje se až do dne 21. února 2022 podle </w:t>
      </w:r>
      <w:hyperlink r:id="rId24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a 6, příloh č. 1 až 4, 6, 11, 12 a 14 vyhlášky č. </w:t>
      </w:r>
      <w:hyperlink r:id="rId7" w:history="1">
        <w:r>
          <w:rPr>
            <w:color w:val="darkblue"/>
            <w:u w:val="single"/>
          </w:rPr>
          <w:t xml:space="preserve">54/2004 Sb.</w:t>
        </w:r>
      </w:hyperlink>
      <w:r>
        <w:rPr/>
        <w:t xml:space="preserve">, ve znění účinném přede dnem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Počáteční a pokračovací kojenecká výživa z hydrolyzovaných bílkovin vyrobená přede dnem 22. února 2022 v souladu s vyhláškou č. </w:t>
      </w:r>
      <w:hyperlink r:id="rId7" w:history="1">
        <w:r>
          <w:rPr>
            <w:color w:val="darkblue"/>
            <w:u w:val="single"/>
          </w:rPr>
          <w:t xml:space="preserve">54/2004 Sb.</w:t>
        </w:r>
      </w:hyperlink>
      <w:r>
        <w:rPr/>
        <w:t xml:space="preserve">, ve znění účinném přede dnem nabytí účinnosti této vyhlášky, může být po 21. únoru 2022 uváděna na trh do vyčerpání zásob.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Náhrada celodenní stravy pro regulaci hmotnosti vyrobená nebo označená přede dnem 27. října 2022 v souladu s vyhláškou č. </w:t>
      </w:r>
      <w:hyperlink r:id="rId7" w:history="1">
        <w:r>
          <w:rPr>
            <w:color w:val="darkblue"/>
            <w:u w:val="single"/>
          </w:rPr>
          <w:t xml:space="preserve">54/2004 Sb.</w:t>
        </w:r>
      </w:hyperlink>
      <w:r>
        <w:rPr/>
        <w:t xml:space="preserve">, ve znění účinném přede dnem 27. října 2022, může být uváděna na trh po 26. říjnu 2022 až do vyčerpání zásob.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patnáctým dnem po jejím vyhlášení s výjimkou bodů 8 a 15, které nabývají účinnosti dnem 27. října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zdravotnictví:</w:t>
      </w:r>
    </w:p>
    <w:p>
      <w:pPr>
        <w:jc w:val="center"/>
        <w:ind w:left="0" w:right="0"/>
        <w:spacing w:after="0"/>
      </w:pPr>
      <w:r>
        <w:rPr/>
        <w:t xml:space="preserve">doc. MUDr. </w:t>
      </w:r>
      <w:r>
        <w:rPr>
          <w:b/>
          <w:bCs/>
        </w:rPr>
        <w:t xml:space="preserve">Blatný</w:t>
      </w:r>
      <w:r>
        <w:rPr/>
        <w:t xml:space="preserve">, Ph.D., v. r.</w:t>
      </w:r>
    </w:p>
    <w:sectPr>
      <w:headerReference w:type="default" r:id="rId27"/>
      <w:footerReference w:type="default" r:id="rId2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80/2021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4s054" TargetMode="External"/><Relationship Id="rId8" Type="http://schemas.openxmlformats.org/officeDocument/2006/relationships/hyperlink" Target="https://esipa.cz/sbirka/sbsrv.dll/sb?DR=AZ&amp;CP=1997s110-2016s180_20200520#C01_P019" TargetMode="External"/><Relationship Id="rId9" Type="http://schemas.openxmlformats.org/officeDocument/2006/relationships/hyperlink" Target="https://esipa.cz/sbirka/sbsrv.dll/sb?DR=SB&amp;CP=1997s110" TargetMode="External"/><Relationship Id="rId10" Type="http://schemas.openxmlformats.org/officeDocument/2006/relationships/hyperlink" Target="https://esipa.cz/sbirka/sbsrv.dll/sb?DR=SB&amp;CP=2000s306" TargetMode="External"/><Relationship Id="rId11" Type="http://schemas.openxmlformats.org/officeDocument/2006/relationships/hyperlink" Target="https://esipa.cz/sbirka/sbsrv.dll/sb?DR=SB&amp;CP=2003s274" TargetMode="External"/><Relationship Id="rId12" Type="http://schemas.openxmlformats.org/officeDocument/2006/relationships/hyperlink" Target="https://esipa.cz/sbirka/sbsrv.dll/sb?DR=SB&amp;CP=2004s316" TargetMode="External"/><Relationship Id="rId13" Type="http://schemas.openxmlformats.org/officeDocument/2006/relationships/hyperlink" Target="https://esipa.cz/sbirka/sbsrv.dll/sb?DR=SB&amp;CP=2008s120" TargetMode="External"/><Relationship Id="rId14" Type="http://schemas.openxmlformats.org/officeDocument/2006/relationships/hyperlink" Target="https://esipa.cz/sbirka/sbsrv.dll/sb?DR=SB&amp;CP=2014s139" TargetMode="External"/><Relationship Id="rId15" Type="http://schemas.openxmlformats.org/officeDocument/2006/relationships/hyperlink" Target="https://esipa.cz/sbirka/sbsrv.dll/sb?DR=SB&amp;CP=2016s180" TargetMode="External"/><Relationship Id="rId16" Type="http://schemas.openxmlformats.org/officeDocument/2006/relationships/hyperlink" Target="https://esipa.cz/sbirka/sbsrv.dll/sb?DR=SB&amp;CP=2006s402" TargetMode="External"/><Relationship Id="rId17" Type="http://schemas.openxmlformats.org/officeDocument/2006/relationships/hyperlink" Target="https://esipa.cz/sbirka/sbsrv.dll/sb?DR=SB&amp;CP=2006s473" TargetMode="External"/><Relationship Id="rId18" Type="http://schemas.openxmlformats.org/officeDocument/2006/relationships/hyperlink" Target="https://esipa.cz/sbirka/sbsrv.dll/sb?DR=SB&amp;CP=2008s157" TargetMode="External"/><Relationship Id="rId19" Type="http://schemas.openxmlformats.org/officeDocument/2006/relationships/hyperlink" Target="https://esipa.cz/sbirka/sbsrv.dll/sb?DR=SB&amp;CP=2012s035" TargetMode="External"/><Relationship Id="rId20" Type="http://schemas.openxmlformats.org/officeDocument/2006/relationships/hyperlink" Target="https://esipa.cz/sbirka/sbsrv.dll/sb?DR=SB&amp;CP=2014s046" TargetMode="External"/><Relationship Id="rId21" Type="http://schemas.openxmlformats.org/officeDocument/2006/relationships/hyperlink" Target="https://esipa.cz/sbirka/sbsrv.dll/sb?DR=SB&amp;CP=2018s039" TargetMode="External"/><Relationship Id="rId22" Type="http://schemas.openxmlformats.org/officeDocument/2006/relationships/hyperlink" Target="https://esipa.cz/sbirka/sbsrv.dll/sb?DR=SB&amp;CP=32006L0125" TargetMode="External"/><Relationship Id="rId23" Type="http://schemas.openxmlformats.org/officeDocument/2006/relationships/hyperlink" Target="https://esipa.cz/sbirka/sbsrv.dll/sb?DR=AZ&amp;CP=2004s054-2018s039#C01_P002" TargetMode="External"/><Relationship Id="rId24" Type="http://schemas.openxmlformats.org/officeDocument/2006/relationships/hyperlink" Target="https://esipa.cz/sbirka/sbsrv.dll/sb?DR=AZ&amp;CP=2004s054-2018s039#C02_P005" TargetMode="External"/><Relationship Id="rId25" Type="http://schemas.openxmlformats.org/officeDocument/2006/relationships/hyperlink" Target="https://esipa.cz/sbirka/sbsrv.dll/sb?DR=AZ&amp;CP=2004s054-2018s039#C02_P006" TargetMode="External"/><Relationship Id="rId26" Type="http://schemas.openxmlformats.org/officeDocument/2006/relationships/hyperlink" Target="https://esipa.cz/sbirka/sbsrv.dll/sb?DR=SB&amp;CP=32005R2073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80/2021 Sb. - původní znění</dc:title>
  <dc:description>Vyhláška, kterou se mění vyhláška č. 54/2004 Sb., o potravinách určených pro zvláštní výživu a o způsobu jejich použití, ve znění pozdějších předpisů</dc:description>
  <dc:subject/>
  <cp:keywords/>
  <cp:category/>
  <cp:lastModifiedBy/>
  <dcterms:created xsi:type="dcterms:W3CDTF">2021-03-06T00:00:00+01:00</dcterms:created>
  <dcterms:modified xsi:type="dcterms:W3CDTF">2021-03-06T01:08:58+01:00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