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69</w:t>
      </w:r>
    </w:p>
    <w:p>
      <w:pPr>
        <w:jc w:val="center"/>
        <w:ind w:left="0" w:right="0"/>
        <w:spacing w:after="0"/>
      </w:pPr>
      <w:r>
        <w:rPr>
          <w:b/>
          <w:bCs/>
        </w:rPr>
        <w:t xml:space="preserve">USNESENÍ</w:t>
      </w:r>
    </w:p>
    <w:p>
      <w:pPr>
        <w:jc w:val="center"/>
        <w:ind w:left="0" w:right="0"/>
        <w:spacing w:after="0"/>
      </w:pPr>
      <w:r>
        <w:rPr/>
        <w:t xml:space="preserve">VLÁDY ČESKÉ REPUBLIKY</w:t>
      </w:r>
    </w:p>
    <w:p>
      <w:pPr>
        <w:jc w:val="center"/>
        <w:ind w:left="0" w:right="0"/>
        <w:spacing w:after="0"/>
      </w:pPr>
      <w:r>
        <w:rPr/>
        <w:t xml:space="preserve">ze dne 14. února 2021 č. 135</w:t>
      </w:r>
    </w:p>
    <w:p>
      <w:pPr>
        <w:jc w:val="center"/>
        <w:ind w:left="0" w:right="0"/>
        <w:spacing w:after="0"/>
      </w:pPr>
      <w:r>
        <w:rPr>
          <w:b/>
          <w:bCs/>
        </w:rPr>
        <w:t xml:space="preserve">o přijetí krizového opatření</w:t>
      </w:r>
    </w:p>
    <w:p/>
    <w:p>
      <w:pPr>
        <w:jc w:val="left"/>
        <w:ind w:left="0" w:right="0"/>
        <w:spacing w:after="0"/>
      </w:pPr>
      <w:r>
        <w:rPr/>
        <w:t xml:space="preserve">V návaznosti na usnesení vlády České republiky č. 125 ze dne 14. února 2021, kterým vláda v souladu s čl. 5 a 6 ústavního zákona č. </w:t>
      </w:r>
      <w:hyperlink r:id="rId7" w:history="1">
        <w:r>
          <w:rPr>
            <w:color w:val="darkblue"/>
            <w:u w:val="single"/>
          </w:rPr>
          <w:t xml:space="preserve">110/1998 Sb.</w:t>
        </w:r>
      </w:hyperlink>
      <w:r>
        <w:rPr/>
        <w:t xml:space="preserve">, o bezpečnosti České republiky, vyhlásila pro území České republiky z důvodu ohrožení zdraví v souvislosti s prokázáním výskytu koronaviru /označovaný jako SARS CoV-2/ na území České republiky nouzový stav, a ve smyslu </w:t>
      </w:r>
      <w:hyperlink r:id="rId8" w:history="1">
        <w:r>
          <w:rPr>
            <w:color w:val="darkblue"/>
            <w:u w:val="single"/>
          </w:rPr>
          <w:t xml:space="preserve">§ 5</w:t>
        </w:r>
      </w:hyperlink>
      <w:r>
        <w:rPr/>
        <w:t xml:space="preserve"> písm. a) až e) a </w:t>
      </w:r>
      <w:hyperlink r:id="rId9" w:history="1">
        <w:r>
          <w:rPr>
            <w:color w:val="darkblue"/>
            <w:u w:val="single"/>
          </w:rPr>
          <w:t xml:space="preserve">§ 6</w:t>
        </w:r>
      </w:hyperlink>
      <w:r>
        <w:rPr/>
        <w:t xml:space="preserve"> zákona č. </w:t>
      </w:r>
      <w:hyperlink r:id="rId10" w:history="1">
        <w:r>
          <w:rPr>
            <w:color w:val="darkblue"/>
            <w:u w:val="single"/>
          </w:rPr>
          <w:t xml:space="preserve">240/2000 Sb.</w:t>
        </w:r>
      </w:hyperlink>
      <w:r>
        <w:rPr/>
        <w:t xml:space="preserve">, o krizovém řízení a o změně některých zákonů (krizový zákon), ve znění pozdějších předpisů, pro řešení vzniklé krizové situace, rozhodla o přijetí krizových opatření, tímto ve smyslu ustanovení </w:t>
      </w:r>
      <w:hyperlink r:id="rId8" w:history="1">
        <w:r>
          <w:rPr>
            <w:color w:val="darkblue"/>
            <w:u w:val="single"/>
          </w:rPr>
          <w:t xml:space="preserve">§ 5</w:t>
        </w:r>
      </w:hyperlink>
      <w:r>
        <w:rPr/>
        <w:t xml:space="preserve"> písm. c) a </w:t>
      </w:r>
      <w:hyperlink r:id="rId9" w:history="1">
        <w:r>
          <w:rPr>
            <w:color w:val="darkblue"/>
            <w:u w:val="single"/>
          </w:rPr>
          <w:t xml:space="preserve">§ 6</w:t>
        </w:r>
      </w:hyperlink>
      <w:r>
        <w:rPr/>
        <w:t xml:space="preserve"> odst. 1 písm. c) krizového zákona.</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Vláda</w:t>
      </w:r>
      <w:r>
        <w:rPr/>
        <w:t xml:space="preserve"> s účinností ode dne 15. února 2021 od 00:00 hod. do dne 28. února 2021 do 23:59 hod.</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ukládá</w:t>
      </w:r>
      <w:r>
        <w:rPr/>
        <w:t xml:space="preserve"> subjektům kritické infrastruktury ve smyslu </w:t>
      </w:r>
      <w:hyperlink r:id="rId11" w:history="1">
        <w:r>
          <w:rPr>
            <w:color w:val="darkblue"/>
            <w:u w:val="single"/>
          </w:rPr>
          <w:t xml:space="preserve">§ 2</w:t>
        </w:r>
      </w:hyperlink>
      <w:r>
        <w:rPr/>
        <w:t xml:space="preserve"> písm. k) krizového zákona a jejich smluvním dodavatelům podílejícím se přímo na zajištění provozu prvku kritické infrastruktury ve smyslu nařízení vlády č. </w:t>
      </w:r>
      <w:hyperlink r:id="rId12" w:history="1">
        <w:r>
          <w:rPr>
            <w:color w:val="darkblue"/>
            <w:u w:val="single"/>
          </w:rPr>
          <w:t xml:space="preserve">432/2010 Sb.</w:t>
        </w:r>
      </w:hyperlink>
      <w:r>
        <w:rPr/>
        <w:t xml:space="preserve">, o kritériích pro určení prvku kritické infrastruktury, ve znění pozdějších předpisů, přijmout nezbytná opatření k zajištění provozu dotčených prvků kritické infrastruktury dle tohoto krizového opatření;</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ukládá</w:t>
      </w:r>
      <w:r>
        <w:rPr/>
        <w:t xml:space="preserve"> subjektům kritické infrastruktury, kteří jsou provozovateli jednoho nebo více prvků kritické infrastruktury v některém z odvětví uvedených v článcích I., II., V. a VI. dle přílohy k nařízení vlády č. </w:t>
      </w:r>
      <w:hyperlink r:id="rId12" w:history="1">
        <w:r>
          <w:rPr>
            <w:color w:val="darkblue"/>
            <w:u w:val="single"/>
          </w:rPr>
          <w:t xml:space="preserve">432/2010 Sb.</w:t>
        </w:r>
      </w:hyperlink>
      <w:r>
        <w:rPr/>
        <w:t xml:space="preserve">, o kritériích pro určení prvku kritické infrastruktury, ve znění pozdějších předpisů,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určit své smluvní dodavatele, kteří jsou nezbytní k zajištění provozu dotčených prvků kritické infrastruktury (dále jen „nezbytný dodavatel“), a po dohodě s nimi zajistit jejich součinnost při zajišťování provozu dotčených prvků kritické infrastruktury,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vést aktuální seznam nezbytných dodavatelů,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pravidelně předávat seznam nezbytných dodavatelů, nejméně však jednou měsíčně, ministerstvu nebo jinému ústřednímu správnímu úřadu, kterým byly stavba, zařízení, prostředek nebo veřejná infrastruktura provozovatele určeny jako prvky kritické infrastruktury dle krizového zákona;</w:t>
      </w:r>
    </w:p>
    <w:p>
      <w:pPr>
        <w:ind w:left="560" w:right="0" w:hanging="560"/>
        <w:tabs>
          <w:tab w:val="right" w:leader="none" w:pos="500"/>
          <w:tab w:val="left" w:leader="none" w:pos="560"/>
        </w:tabs>
      </w:pPr>
      <w:r>
        <w:rPr/>
        <w:t xml:space="preserve">	</w:t>
      </w:r>
      <w:r>
        <w:rPr>
          <w:b/>
          <w:bCs/>
        </w:rPr>
        <w:t xml:space="preserve">III.</w:t>
      </w:r>
      <w:r>
        <w:rPr/>
        <w:t xml:space="preserve">	</w:t>
      </w:r>
      <w:r>
        <w:rPr>
          <w:b/>
          <w:bCs/>
        </w:rPr>
        <w:t xml:space="preserve">nařizuje</w:t>
      </w:r>
      <w:r>
        <w:rPr/>
        <w:t xml:space="preserve"> fyzickým osobám určeným subjektem kritické infrastruktury ve smyslu </w:t>
      </w:r>
      <w:hyperlink r:id="rId11" w:history="1">
        <w:r>
          <w:rPr>
            <w:color w:val="darkblue"/>
            <w:u w:val="single"/>
          </w:rPr>
          <w:t xml:space="preserve">§ 2</w:t>
        </w:r>
      </w:hyperlink>
      <w:r>
        <w:rPr/>
        <w:t xml:space="preserve"> písm. k) krizového zákona a fyzickým osobám určeným smluvními dodavateli subjektů kritické infrastruktury podílejícími se přímo na zajištění provozu prvku kritické infrastruktury s ohledem na jejich skutečnou roli při zajišťování funkce prvku kritické infrastruktury ve smyslu nařízení vlády č. </w:t>
      </w:r>
      <w:hyperlink r:id="rId12" w:history="1">
        <w:r>
          <w:rPr>
            <w:color w:val="darkblue"/>
            <w:u w:val="single"/>
          </w:rPr>
          <w:t xml:space="preserve">432/2010 Sb.</w:t>
        </w:r>
      </w:hyperlink>
      <w:r>
        <w:rPr/>
        <w:t xml:space="preserve">, o kritériích pro určení prvku kritické infrastruktury, ve znění pozdějších předpisů; pro účely tohoto usnesení jsou subjekty kritické infrastruktury a smluvní dodavatelé subjektu kritické infrastruktury ve smyslu tohoto bodu usnesení označováni dále jako „dotčená právnická osoba“ a kritičtí zaměstnanci ve smyslu bodu III. usnesení vlády České republiky ze dne 14. února 2021 </w:t>
      </w:r>
      <w:hyperlink r:id="rId13" w:history="1">
        <w:r>
          <w:rPr>
            <w:color w:val="darkblue"/>
            <w:u w:val="single"/>
          </w:rPr>
          <w:t xml:space="preserve">č. 125</w:t>
        </w:r>
      </w:hyperlink>
      <w:r>
        <w:rPr/>
        <w:t xml:space="preserve"> jsou pro účely tohoto usnesení označováni dále jako „fyzické osoby“: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zdržovat se v době, ve které je možno fyzické osobě nařídit pracovní povinnost, výhradně na místech určených dotčenou právnickou osobou, s výjimkou:</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cest nezbytně nutných k obstarávání vlastních základních životních potřeb,</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cest do zdravotnických zařízení nezbytně nutných k poskytnutí neodkladných zdravotních služeb fyzické osobě,</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cest nezbytně nutných k vyřízení vlastních neodkladných úředních záležitostí,</w:t>
      </w:r>
    </w:p>
    <w:p>
      <w:pPr>
        <w:ind w:left="900" w:right="0"/>
      </w:pPr>
      <w:r>
        <w:rPr/>
        <w:t xml:space="preserve">přičemž fyzická osoba je v případech podle písmen a) až c) povinna každou takovou cestu předem oznámit dotčené právnické osobě, a není-li takové předchozí oznámení možné, je povinna dotčenou právnickou osobu o dané cestě vyrozumět ihned, jakmile to bude možné,</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případě, že jim bylo na základě provedeného epidemiologického šetření oznámeno, že byly v úzkém kontaktu s osobou, u které bylo potvrzeno onemocnění COVID-19 (dále jen „rizikový kontakt“), bezodkladně o tom informovat dotčenou právnickou osobu,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respektovat rozhodnutí dotčené právnické osoby o rozvržení pracovní povinnosti učiněné podle bodu VII. tohoto usnesení;</w:t>
      </w:r>
    </w:p>
    <w:p>
      <w:pPr>
        <w:ind w:left="560" w:right="0" w:hanging="560"/>
        <w:tabs>
          <w:tab w:val="right" w:leader="none" w:pos="500"/>
          <w:tab w:val="left" w:leader="none" w:pos="560"/>
        </w:tabs>
      </w:pPr>
      <w:r>
        <w:rPr/>
        <w:t xml:space="preserve">	</w:t>
      </w:r>
      <w:r>
        <w:rPr>
          <w:b/>
          <w:bCs/>
        </w:rPr>
        <w:t xml:space="preserve">IV.</w:t>
      </w:r>
      <w:r>
        <w:rPr/>
        <w:t xml:space="preserve">	</w:t>
      </w:r>
      <w:r>
        <w:rPr>
          <w:b/>
          <w:bCs/>
        </w:rPr>
        <w:t xml:space="preserve">nařizuje</w:t>
      </w:r>
      <w:r>
        <w:rPr/>
        <w:t xml:space="preserve"> všem dotčeným právnickým osobám: &gt;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zajistit všem fyzickým osobám, kterým bylo v době, ve které je možno nařídit pracovní povinnost, nařízeno podle bodu III. tohoto usnesení zdržovat se na jiném místě než v jejich bydlišti, zdarma důstojné ubytování a další nezbytné životní podmínky, včetně zajištění: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základních životních potřeb těchto fyzických osob,</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přiměřeného kontaktu těchto fyzických osob s rodinou a osobami blízkými,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péče o osoby dané fyzické osobě blízké nebo o zvířata chovaná danou fyzickou osobou, kterou by za normálních okolností tato fyzická osoba poskytovala osobně a kterou tato fyzická osoba v důsledku omezení volnosti pohybu dle bodu III. tohoto usnesení nemůže řádně vykonávat, a to na základě žádosti této fyzické osoby,</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správy majetku dané fyzické osoby, kterou tato fyzická osoba v důsledku omezení volnosti pohybu dle bodu III. tohoto usnesení nemůže řádně vykonávat, a to na základě žádosti této fyzické osoby,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zajistit podmínky pro fyzické osoby podle bodu III/2 tohoto usnesení, které měly rizikový kontakt, tak, aby tyto fyzické osoby mohly dodržet všechna pravidla podle tohoto opatření,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případě, že dotčená právnická osoba zjistí, že fyzická osoba měla rizikový kontakt podle bodu III/2 tohoto usnesení, ale nemá klinické příznaky onemocnění COVID-19, a rozhodne, že je výkon práce a/nebo pracovní povinnosti fyzické osoby nezbytný s ohledem na její skutečnou roli při zajišťování provozu prvku kritické infrastruktury, který dotčená právnická osoba provozuje, pak dotčená právnická osoba a fyzická osoba postupují podle bodu V. tohoto usnesení; dotčená právnická osoba oznámí tuto skutečnost místně příslušnému orgánu ochrany veřejného zdraví;</w:t>
      </w:r>
    </w:p>
    <w:p>
      <w:pPr>
        <w:ind w:left="560" w:right="0" w:hanging="560"/>
        <w:tabs>
          <w:tab w:val="right" w:leader="none" w:pos="500"/>
          <w:tab w:val="left" w:leader="none" w:pos="560"/>
        </w:tabs>
      </w:pPr>
      <w:r>
        <w:rPr/>
        <w:t xml:space="preserve">	</w:t>
      </w:r>
      <w:r>
        <w:rPr>
          <w:b/>
          <w:bCs/>
        </w:rPr>
        <w:t xml:space="preserve">V.</w:t>
      </w:r>
      <w:r>
        <w:rPr/>
        <w:t xml:space="preserve">	</w:t>
      </w:r>
      <w:r>
        <w:rPr>
          <w:b/>
          <w:bCs/>
        </w:rPr>
        <w:t xml:space="preserve">nařizuje</w:t>
      </w:r>
      <w:r>
        <w:rPr/>
        <w:t xml:space="preserve"> krajským hygienickým stanicím a Hygienické stanici hlavního města Prahy v případě, že fyzické osobě bylo nařízeno karanténní opatření a následně byla místně příslušnému orgánu ochrany veřejného zdraví oznámena dotčenou právnickou osobou skutečnost podle bodu IV/3, změnit karanténní opatření tak, aby umožňovalo výkon práce a/nebo pracovní povinnosti fyzické osoby podle bodu VI.;</w:t>
      </w:r>
    </w:p>
    <w:p>
      <w:pPr>
        <w:ind w:left="560" w:right="0" w:hanging="560"/>
        <w:tabs>
          <w:tab w:val="right" w:leader="none" w:pos="500"/>
          <w:tab w:val="left" w:leader="none" w:pos="560"/>
        </w:tabs>
      </w:pPr>
      <w:r>
        <w:rPr/>
        <w:t xml:space="preserve">	</w:t>
      </w:r>
      <w:r>
        <w:rPr>
          <w:b/>
          <w:bCs/>
        </w:rPr>
        <w:t xml:space="preserve">VI.</w:t>
      </w:r>
      <w:r>
        <w:rPr/>
        <w:t xml:space="preserve">	</w:t>
      </w:r>
      <w:r>
        <w:rPr>
          <w:b/>
          <w:bCs/>
        </w:rPr>
        <w:t xml:space="preserve">nařizuje</w:t>
      </w:r>
      <w:r>
        <w:rPr/>
        <w:t xml:space="preserve"> všem fyzickým osobám bez klinických příznaků, které měly rizikový kontakt, dodržovat tato pravidla, a to minimálně po dobu 10 dnů od rizikového kontaktu: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fyzická osoba pracuje s respirátorem třídy FFP2 bez výdechového ventilu,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fyzická osoba používá jeden respirátor třídy FFP2 maximálně po dobu 4 hodin,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fyzická osoba využívá na odpočinek a stravování místnost bez přítomnosti jiné osoby,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fyzická osoba pracuje tak, aby se minimalizoval kontakt s ostatními osobami,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fyzická osoba omezí pohyb po pracovišti na nezbytně nutnou míru,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fyzická osoba si na začátku výkonu práce nebo pracovní povinnosti bezprostředně před jejím zahájením změří tělesnou teplotu a průběžně sleduje svůj zdravotní stav se zaměřením na možné klinické příznaky onemocnění COVID-19; v případě výskytu klinických příznaků onemocnění COVID-19 fyzická osoba bez prodlení přeruší výkon práce nebo pracovní povinnosti a oznámí tuto skutečnost zástupci dotčené právnické osoby;</w:t>
      </w:r>
    </w:p>
    <w:p>
      <w:pPr>
        <w:ind w:left="560" w:right="0" w:hanging="560"/>
        <w:tabs>
          <w:tab w:val="right" w:leader="none" w:pos="500"/>
          <w:tab w:val="left" w:leader="none" w:pos="560"/>
        </w:tabs>
      </w:pPr>
      <w:r>
        <w:rPr/>
        <w:t xml:space="preserve">	</w:t>
      </w:r>
      <w:r>
        <w:rPr>
          <w:b/>
          <w:bCs/>
        </w:rPr>
        <w:t xml:space="preserve">VII.</w:t>
      </w:r>
      <w:r>
        <w:rPr/>
        <w:t xml:space="preserve">	</w:t>
      </w:r>
      <w:r>
        <w:rPr>
          <w:b/>
          <w:bCs/>
        </w:rPr>
        <w:t xml:space="preserve">umožňuje</w:t>
      </w:r>
      <w:r>
        <w:rPr/>
        <w:t xml:space="preserve"> dotčeným právnickým osobám: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nařídit pracovní povinnost u fyzických osob takovým způsobem, že jejich osobní volno bude za dobu 3 týdnů činit alespoň 105 hodin,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vypracovat písemný rozvrh pracovní povinnosti a seznámit s ním nebo s jeho změnou fyzickou osobu nejpozději 24 hodin před začátkem období, na něž je pracovní povinnost fyzické osobě rozvržena.</w:t>
      </w:r>
    </w:p>
    <w:p>
      <w:pPr>
        <w:spacing w:after="0"/>
      </w:pPr>
      <w:pPr>
        <w:rPr/>
      </w:pPr>
    </w:p>
    <w:p>
      <w:pPr>
        <w:jc w:val="center"/>
        <w:ind w:left="0" w:right="0"/>
        <w:spacing w:after="0"/>
      </w:pPr>
      <w:r>
        <w:rPr/>
        <w:t xml:space="preserve">Předseda vlády:</w:t>
      </w:r>
    </w:p>
    <w:p>
      <w:pPr>
        <w:jc w:val="center"/>
        <w:ind w:left="0" w:right="0"/>
        <w:spacing w:after="0"/>
      </w:pPr>
      <w:r>
        <w:rPr/>
        <w:t xml:space="preserve">Ing. </w:t>
      </w:r>
      <w:r>
        <w:rPr>
          <w:b/>
          <w:bCs/>
        </w:rPr>
        <w:t xml:space="preserve">Babiš</w:t>
      </w:r>
      <w:r>
        <w:rPr/>
        <w:t xml:space="preserve"> v. r.</w:t>
      </w:r>
    </w:p>
    <w:sectPr>
      <w:headerReference w:type="default" r:id="rId14"/>
      <w:footerReference w:type="default" r:id="rId1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69/2021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8s110" TargetMode="External"/><Relationship Id="rId8" Type="http://schemas.openxmlformats.org/officeDocument/2006/relationships/hyperlink" Target="https://esipa.cz/sbirka/sbsrv.dll/sb?DR=AZ&amp;CP=2000s240-2020s544#P5" TargetMode="External"/><Relationship Id="rId9" Type="http://schemas.openxmlformats.org/officeDocument/2006/relationships/hyperlink" Target="https://esipa.cz/sbirka/sbsrv.dll/sb?DR=AZ&amp;CP=2000s240-2020s544#P6" TargetMode="External"/><Relationship Id="rId10" Type="http://schemas.openxmlformats.org/officeDocument/2006/relationships/hyperlink" Target="https://esipa.cz/sbirka/sbsrv.dll/sb?DR=SB&amp;CP=2000s240" TargetMode="External"/><Relationship Id="rId11" Type="http://schemas.openxmlformats.org/officeDocument/2006/relationships/hyperlink" Target="https://esipa.cz/sbirka/sbsrv.dll/sb?DR=AZ&amp;CP=2000s240-2020s544#P2" TargetMode="External"/><Relationship Id="rId12" Type="http://schemas.openxmlformats.org/officeDocument/2006/relationships/hyperlink" Target="https://esipa.cz/sbirka/sbsrv.dll/sb?DR=SB&amp;CP=2010s432" TargetMode="External"/><Relationship Id="rId13" Type="http://schemas.openxmlformats.org/officeDocument/2006/relationships/hyperlink" Target="https://esipa.cz/sbirka/sbsrv.dll/sb?DR=SB&amp;CP=2021s059" TargetMode="External"/><Relationship Id="rId14" Type="http://schemas.openxmlformats.org/officeDocument/2006/relationships/header" Target="header1.xml"/><Relationship Id="rId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69/2021 Sb. - původní znění</dc:title>
  <dc:description>Usnesení vlády České republiky o přijetí krizového opatření (č. 135)</dc:description>
  <dc:subject/>
  <cp:keywords/>
  <cp:category/>
  <cp:lastModifiedBy/>
  <dcterms:created xsi:type="dcterms:W3CDTF">2021-02-15T00:00:00+01:00</dcterms:created>
  <dcterms:modified xsi:type="dcterms:W3CDTF">2021-02-16T12:00:42+01:00</dcterms:modified>
</cp:coreProperties>
</file>

<file path=docProps/custom.xml><?xml version="1.0" encoding="utf-8"?>
<Properties xmlns="http://schemas.openxmlformats.org/officeDocument/2006/custom-properties" xmlns:vt="http://schemas.openxmlformats.org/officeDocument/2006/docPropsVTypes"/>
</file>