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140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c)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po dobu trvání nouzového stavu</w:t>
      </w:r>
    </w:p>
    <w:p>
      <w:pPr>
        <w:ind w:left="0" w:right="0"/>
      </w:pPr>
      <w:r>
        <w:rPr>
          <w:b/>
          <w:bCs/>
        </w:rPr>
        <w:t xml:space="preserve">stanovuje</w:t>
      </w:r>
      <w:r>
        <w:rPr/>
        <w:t xml:space="preserve">, že provozovateli informačního systému datových schránek nenáleží odměna podle </w:t>
      </w:r>
      <w:hyperlink r:id="rId12" w:history="1">
        <w:r>
          <w:rPr>
            <w:color w:val="darkblue"/>
            <w:u w:val="single"/>
          </w:rPr>
          <w:t xml:space="preserve">§ 18a</w:t>
        </w:r>
      </w:hyperlink>
      <w:r>
        <w:rPr/>
        <w:t xml:space="preserve"> odst. 3 zákona č. </w:t>
      </w:r>
      <w:hyperlink r:id="rId13" w:history="1">
        <w:r>
          <w:rPr>
            <w:color w:val="darkblue"/>
            <w:u w:val="single"/>
          </w:rPr>
          <w:t xml:space="preserve">300/2008 Sb.</w:t>
        </w:r>
      </w:hyperlink>
      <w:r>
        <w:rPr/>
        <w:t xml:space="preserve">, o elektronických úkonech a autorizované konverzi dokumentů, ve znění pozdějších předpisů.</w:t>
      </w:r>
    </w:p>
    <w:p>
      <w:pPr>
        <w:ind w:left="0" w:right="0"/>
      </w:pPr>
      <w:r>
        <w:rPr>
          <w:b/>
          <w:bCs/>
        </w:rPr>
        <w:t xml:space="preserve">Provede:</w:t>
      </w:r>
    </w:p>
    <w:p>
      <w:pPr>
        <w:ind w:left="0" w:right="0"/>
      </w:pPr>
      <w:r>
        <w:rPr/>
        <w:t xml:space="preserve">1. místopředseda vlády a ministr vnitra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AZ&amp;CP=2008s300-2019s255#P18A" TargetMode="External"/><Relationship Id="rId13" Type="http://schemas.openxmlformats.org/officeDocument/2006/relationships/hyperlink" Target="https://esipa.cz/sbirka/sbsrv.dll/sb?DR=SB&amp;CP=2008s300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72/2021 Sb. - původní znění</dc:title>
  <dc:description>Usnesení vlády České republiky o přijetí krizového opatření (č. 140)</dc:description>
  <dc:subject/>
  <cp:keywords/>
  <cp:category/>
  <cp:lastModifiedBy/>
  <dcterms:created xsi:type="dcterms:W3CDTF">2021-02-15T00:00:00+01:00</dcterms:created>
  <dcterms:modified xsi:type="dcterms:W3CDTF">2021-02-16T13:00:15+01:00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