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550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se zdravotním postižením charakteru dlouhodobě nepříznivého zdravotního stavu uvedeným v příloze tohoto zákona,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svislé zdvihací plošiny, šikmé zvedací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svislé zdvihací plošiny, šikmé zvedací plošiny, schodišťové sedačky nebo stropního zvedacího systému, je rovněž podmínkou souhlas vlastníka nemovitosti s provedením instalace tohoto zařízení a jeho provozem, není-li vlastníkem nemovitosti osoba, které je tento příspěvek poskytován. Souhlas vlastníka nemovitosti může být nahrazen rozhodnutím soudu.</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svislé zdvihací plošiny nebo šikmé zvedací plošiny se poskytne, jen jestliže odstranění bariéry nelze dosáhnout prostřednictvím schodolezu. Jde-li o poskytnutí příspěvku na zvláštní pomůcku na pořízení svislé zdvihací plošiny, šikmé zvedací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se zdravotním postižením uvedeným v příloze tohoto zákona,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10 000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 Z důvodů hodných zvláštního zřetele, zejména žádá-li osoba opakovaně o příspěvek na různé zvláštní pomůcky, jejichž cena je nižší než 10 000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1 000 Kč.</w:t>
      </w:r>
    </w:p>
    <w:p>
      <w:pPr>
        <w:ind w:left="0" w:right="0"/>
      </w:pPr>
      <w:r>
        <w:rPr>
          <w:b/>
          <w:bCs/>
        </w:rPr>
        <w:t xml:space="preserve">(3)</w:t>
      </w:r>
      <w:r>
        <w:rPr/>
        <w:t xml:space="preserve">  Výše příspěvku na pořízení zvláštní pomůcky, jejíž cena je vyšší než 10 000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svislé zdvihací plošiny nebo šikmé zvedací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 určí nižší výši spoluúčasti, minimálně však 1 000 Kč.</w:t>
      </w:r>
    </w:p>
    <w:p>
      <w:pPr>
        <w:ind w:left="0" w:right="0"/>
      </w:pPr>
      <w:r>
        <w:rPr>
          <w:b/>
          <w:bCs/>
        </w:rPr>
        <w:t xml:space="preserve">(5)</w:t>
      </w:r>
      <w:r>
        <w:rPr/>
        <w:t xml:space="preserve"> Výše příspěvku na zvláštní pomůcku poskytovaného na pořízení motorového vozidla, není-li dále stanoveno jinak,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je‑li příjem osoby a příjem osob s ní společně posuzovaných nižší nebo roven šestnáctinásobku částky životního minima jednotlivce nebo životního minima společně posuzovaných osob podle zákona o životním a existenčním minimu</w:t>
      </w:r>
      <w:r>
        <w:rPr>
          <w:vertAlign w:val="superscript"/>
        </w:rPr>
        <w:t xml:space="preserve">9</w:t>
      </w:r>
      <w:r>
        <w:rPr/>
        <w:t xml:space="preserve">) nebo je‑li tento příspěvek poskytován nezletilé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180 000 Kč, je‑li příjem osoby a příjem osob s ní společně posuzovaných vyšší než šestnáctinásobek částky životního minima uvedeného v písmenu a), avšak nižší nebo roven sedmnáctinásobku této částky,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160 000 Kč, je‑li příjem osoby a příjem osob s ní společně posuzovaných vyšší než sedmnáctinásobek částky životního minima uvedeného v písmenu a), avšak nižší nebo roven osmnáctinásobku této částky,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140 000 Kč, je‑li příjem osoby a příjem osob s ní společně posuzovaných vyšší než osmnáctinásobek částky životního minima uvedeného v písmenu a), avšak nižší nebo roven devatenáctinásobku této částky,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120 000 Kč, je‑li příjem osoby a příjem osob s ní společně posuzovaných vyšší než devatenáctinásobek částky životního minima uvedeného v písmenu a), avšak nižší nebo roven dvacetinásobku této částky,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100 000 Kč, je‑li příjem osoby a příjem osob s ní společně posuzovaných vyšší než dvacetinásobek částky životního minima uvedeného v písmenu a).</w:t>
      </w:r>
    </w:p>
    <w:p>
      <w:pPr>
        <w:ind w:left="0" w:right="0"/>
      </w:pPr>
      <w:r>
        <w:rPr>
          <w:b/>
          <w:bCs/>
        </w:rPr>
        <w:t xml:space="preserve">(6)</w:t>
      </w:r>
      <w:r>
        <w:rPr/>
        <w:t xml:space="preserve"> Bylo-li motorové vozidlo zakoupeno před podáním žádosti o příspěvek na zvláštní pomůcku a cena, za kterou bylo zakoupeno, byla nižší, než by byla výše příspěvku na zvláštní pomůcku určená podle odstavce 5, stanoví krajská pobočka Úřadu práce výši příspěvku na zvláštní pomůcku poskytovaného na pořízení motorového vozidla ve výši ceny, za kterou bylo motorové vozidlo zakoupeno.</w:t>
      </w:r>
    </w:p>
    <w:p>
      <w:pPr>
        <w:ind w:left="0" w:right="0"/>
      </w:pPr>
      <w:r>
        <w:rPr>
          <w:b/>
          <w:bCs/>
        </w:rPr>
        <w:t xml:space="preserve">(7)</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 Krajská pobočka Úřadu práce může při rozhodování o příspěvku na zvláštní pomůcku na žádost rozhodnout, že osoby uvedené v § 4 odst. 1 písm. a) až c) zákona o životním a existenčním minimu</w:t>
      </w:r>
      <w:r>
        <w:rPr>
          <w:vertAlign w:val="superscript"/>
        </w:rPr>
        <w:t xml:space="preserve">9</w:t>
      </w:r>
      <w:r>
        <w:rPr/>
        <w:t xml:space="preserve">) se neposuzují jako osoby společně posuzované, jestliže spolu nejméně po dobu 3 měsíců prokazatelně nežijí.</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pěstoun anebo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ind w:left="0" w:right="0"/>
      </w:pPr>
      <w:r>
        <w:rPr>
          <w:b/>
          <w:bCs/>
        </w:rPr>
        <w:t xml:space="preserve">(4)</w:t>
      </w:r>
      <w:r>
        <w:rPr/>
        <w:t xml:space="preserve">  Je-li nezletilá osoba svěřena na základě rozhodnutí příslušného orgánu do péče jiné fyzické osoby, zastupuje ji v řízení o dávce tato fyzická osoba. Je-li nezletilá osoba svěřena na základě rozhodnutí příslušného orgánu do osobní péče pěstouna, zastupuje ji v řízení o dávce pěstoun.</w:t>
      </w:r>
    </w:p>
    <w:p>
      <w:pPr>
        <w:ind w:left="0" w:right="0"/>
      </w:pPr>
      <w:r>
        <w:rPr>
          <w:b/>
          <w:bCs/>
        </w:rPr>
        <w:t xml:space="preserve">(5)</w:t>
      </w:r>
      <w:r>
        <w:rPr/>
        <w:t xml:space="preserve"> Zletilou osobu může v řízení o nároku podle tohoto zákona zastupovat člen domácnosti, který je k tomu oprávněn podle občanského zákoníku.</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 v případech uvedených v § 10 odst. 1, 4 a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nebo rozhodnutí soudu podle § 9 odst.  7, jde-li o žádost o příspěvek na zvláštní pomůcku na pořízení svislé zdvihací plošiny, šikmé zvedací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24a</w:t>
      </w:r>
      <w:r>
        <w:rPr>
          <w:rStyle w:val="hidden"/>
        </w:rPr>
        <w:t xml:space="preserve"> -</w:t>
      </w:r>
      <w:br/>
      <w:r>
        <w:rPr/>
        <w:t xml:space="preserve">Rozhodnutí o zastavení nebo obnovení výplaty příspěvku na mobilitu</w:t>
      </w:r>
    </w:p>
    <w:p>
      <w:pPr>
        <w:ind w:left="0" w:right="0"/>
      </w:pPr>
      <w:r>
        <w:rPr>
          <w:b/>
          <w:bCs/>
        </w:rPr>
        <w:t xml:space="preserve">(1)</w:t>
      </w:r>
      <w:r>
        <w:rPr/>
        <w:t xml:space="preserve"> O rozhodnutí o zastavení nebo obnovení výplaty příspěvku na mobilitu podle § 15 odst. 4 se učiní pouze záznam do spisu a oprávněná osoba se o něm písemně vyrozumí. Rozhodnutí je prvním úkonem v řízení a nabývá vykonatelnosti provedením záznamu do spisu.</w:t>
      </w:r>
    </w:p>
    <w:p>
      <w:pPr>
        <w:ind w:left="0" w:right="0"/>
      </w:pPr>
      <w:r>
        <w:rPr>
          <w:b/>
          <w:bCs/>
        </w:rPr>
        <w:t xml:space="preserve">(2)</w:t>
      </w:r>
      <w:r>
        <w:rPr/>
        <w:t xml:space="preserve"> Rozhodnutí uvedené v odstavci 1 bude vyhotoveno písemně a oznámeno oprávněné osobě, jestliže o to požádá ve lhůtě 15 dnů ode dne, kdy jí bylo doručeno písemné vyrozumění podle odstavce 1. Nepožádá-li oprávněná osoba o vyhotovení písemného rozhodnutí podle věty první, nabývá rozhodnutí právní moci marným uplynutím této lhůty.</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krajské pobočce Úřadu práce skutečnosti rozhodné pro stanovení povinnosti vrátit příspěvek na zvláštní pomůcku nebo jeho poměrnou část podle § 12, a to ve lhůtě 8 dnů ode dne vzniku této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krajské pobočky Úřadu práce prokázat skutečnosti rozhodné pro posouzení vzniku povinnosti vrátit příspěvek na zvláštní pomůcku nebo jeho poměrnou část podle § 12, a to ve lhůtě do 8 dnů ode dne doručení výzvy, není-li v této výzvě určena delší lhůta. Nebudou-li na základě výzvy tyto skutečnosti prokázány, vzniká povinnost příspěvek na zvláštní pomůcku vrátit; ustanovení § 12 odst. 2 až 4 tím nejsou dotčena.</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nároku na průkaz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 Pro účely vydání průkazu osoby se zdravotním postižením podle odstavce 6, u žadatelů, kterým na něj vznikl trvalý nárok, pouze z důvodu skončení doby jeho platnosti jako veřejné listiny podle odstavce 7, se posouzení okresní správy sociálního zabezpečení dle věty první nevyžaduje.</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 Bez časového omezení se u osob starších 18 let věku vydávají rozhodnutí v případech uvedených v příloze č. 4 prováděcího předpisu</w:t>
      </w:r>
      <w:r>
        <w:rPr>
          <w:vertAlign w:val="superscript"/>
        </w:rPr>
        <w:t xml:space="preserve">30</w:t>
      </w:r>
      <w:r>
        <w:rPr/>
        <w:t xml:space="preserve">), a to v bodě 1 písm. b), v bodě 2 písm. a), b), d), e), j), k) a l) a v bodě 3 písm. a), b), c), e), j), k), l), m) a n). To nevylučuje vydání rozhodnutí bez časového omezení také u jiných zdravotních stavů uvedených v příloze č. 4 prováděcího předpisu</w:t>
      </w:r>
      <w:r>
        <w:rPr>
          <w:vertAlign w:val="superscript"/>
        </w:rPr>
        <w:t xml:space="preserve">30</w:t>
      </w:r>
      <w:r>
        <w:rPr/>
        <w:t xml:space="preserve">).</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 Krajská pobočka Úřadu práce 90 dní před koncem platnosti průkazu osoby se zdravotním postižením jako veřejné listiny písemně informuje jeho držitele o končící platnosti průkazu osoby se zdravotním postižením.</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Přestupky</w:t>
      </w:r>
    </w:p>
    <w:p>
      <w:pPr>
        <w:pStyle w:val="Heading3"/>
      </w:pPr>
      <w:r>
        <w:rPr>
          <w:b/>
          <w:bCs/>
        </w:rPr>
        <w:t xml:space="preserve">§ 36a</w:t>
      </w:r>
    </w:p>
    <w:p>
      <w:pPr>
        <w:ind w:left="0" w:right="0"/>
      </w:pPr>
      <w:r>
        <w:rPr>
          <w:b/>
          <w:bCs/>
        </w:rPr>
        <w:t xml:space="preserve">(1)</w:t>
      </w:r>
      <w:r>
        <w:rPr/>
        <w:t xml:space="preserve">  Fyzická osoba se dopustí přestupku tím, že úmyslně zničí, poškodí, pozmění nebo zneužije průkaz osoby se zdravotním postižením.</w:t>
      </w:r>
    </w:p>
    <w:p>
      <w:pPr>
        <w:ind w:left="0" w:right="0"/>
      </w:pPr>
      <w:r>
        <w:rPr>
          <w:b/>
          <w:bCs/>
        </w:rPr>
        <w:t xml:space="preserve">(2)</w:t>
      </w:r>
      <w:r>
        <w:rPr/>
        <w:t xml:space="preserve">  Držitel průkazu osoby se zdravotním postižením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oznamovací povinnost podle § 34a odst. 4,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neodevzdá dosavadní průkaz osoby se zdravotním postižením při převzetí nového průkazu osoby se zdravotním postižením podle § 34a odst. 5 nebo 6.</w:t>
      </w:r>
    </w:p>
    <w:p>
      <w:pPr>
        <w:ind w:left="0" w:right="0"/>
      </w:pPr>
      <w:r>
        <w:rPr>
          <w:b/>
          <w:bCs/>
        </w:rPr>
        <w:t xml:space="preserve">(3)</w:t>
      </w:r>
      <w:r>
        <w:rPr/>
        <w:t xml:space="preserve">  Za přestupek podle odstavce 1 nebo 2 lze uložit pokutu do 20 000 Kč.</w:t>
      </w:r>
    </w:p>
    <w:p>
      <w:pPr>
        <w:pStyle w:val="Heading2"/>
      </w:pPr>
      <w:r>
        <w:rPr>
          <w:b/>
          <w:bCs/>
        </w:rPr>
        <w:t xml:space="preserve">Hlava VII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5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7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8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50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51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2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3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314"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Vyhláška č. </w:t>
      </w:r>
      <w:hyperlink r:id="rId316" w:history="1">
        <w:r>
          <w:rPr>
            <w:color w:val="darkblue"/>
            <w:u w:val="single"/>
          </w:rPr>
          <w:t xml:space="preserve">388/2011 Sb.</w:t>
        </w:r>
      </w:hyperlink>
      <w:r>
        <w:rPr>
          <w:sz w:val="19.200000000000003"/>
          <w:szCs w:val="19.200000000000003"/>
        </w:rPr>
        <w:t xml:space="preserve">, o provedení některých ustanovení zákona o poskytování dávek osobám se zdravotním postižením,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Těžká vada nosného nebo pohybového ústrojí, za kterou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1300" w:right="0" w:hanging="1300"/>
        <w:tabs>
          <w:tab w:val="right" w:leader="none" w:pos="1240"/>
          <w:tab w:val="left" w:leader="none" w:pos="1300"/>
        </w:tabs>
      </w:pPr>
      <w:r>
        <w:rPr/>
        <w:t xml:space="preserve">	</w:t>
      </w:r>
      <w:r>
        <w:rPr>
          <w:b/>
          <w:bCs/>
        </w:rPr>
        <w:t xml:space="preserve">m)</w:t>
      </w:r>
      <w:r>
        <w:rPr/>
        <w:t xml:space="preserve">	</w:t>
      </w:r>
      <w:r>
        <w:rPr/>
        <w:t xml:space="preserve">anatomické ztráty horních končetin na úrovni obou zápěstí a výše nebo vrozené či získané vady obou horních končetin s úplnou ztrátou základní funkce obou rukou (úchopu a přidržování) závažně narušující posturální funkce těla,</w:t>
      </w:r>
    </w:p>
    <w:p>
      <w:pPr>
        <w:ind w:left="1300" w:right="0" w:hanging="1300"/>
        <w:tabs>
          <w:tab w:val="right" w:leader="none" w:pos="1240"/>
          <w:tab w:val="left" w:leader="none" w:pos="1300"/>
        </w:tabs>
      </w:pPr>
      <w:r>
        <w:rPr/>
        <w:t xml:space="preserve">	</w:t>
      </w:r>
      <w:r>
        <w:rPr>
          <w:b/>
          <w:bCs/>
        </w:rPr>
        <w:t xml:space="preserve">n)</w:t>
      </w:r>
      <w:r>
        <w:rPr/>
        <w:t xml:space="preserve">	</w:t>
      </w:r>
      <w:r>
        <w:rPr/>
        <w:t xml:space="preserve">těžká demence s neschopností chůze a odkázaností na mechanický vozík, pokud byl vozík osobě předepsán příslušným lékařem a schválen revizním lékařem zdravotní pojišťovny, nebo těžká demence provázená těžkým syndromem geriatrické křehkosti a imobility prokázané geriatrickým vyšetřením.</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Těžké zrakové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b/>
          <w:bCs/>
        </w:rPr>
        <w:t xml:space="preserve">Těžké sluchové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b/>
          <w:bCs/>
        </w:rPr>
        <w:t xml:space="preserve">Zdravotní postižení interní povahy způsobující těžké omezení pohyblivosti,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ischemická choroba dolních končetin ve stadiu kritické končetinové ischémie na jedné nebo obou dolních končetinách ohrožující vitalitu končetiny, a to ve stadiu II/IV podle Fontaina, resp. ve stadiu II/4, III/5 nebo III/6 podle Rutherforda, přičemž nebylo možno provést revaskularisaci nebo tato selhala,</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chronická žilní insuficience (CVI) ve stupni postižení C6a/s (CVI s floridním vředem) nebo C5a/s (CVI se zhojeným vředem) nebo skóre žilní disability (VDS) ve stupni 3,</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lymfedém dolní končetiny (primární i sekundární) ve stupni postižení 3 (elefantiáza),</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nezhojený defekt jedné nebo obou dolních končetin léčený adekvátním odlehčením (ortéza, vozík) po dobu nejméně 12 měsíců v certifikované podiatrické ambulanci pro diabetiky,</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Charcotova neuropatická osteoarthropatie jedné nebo obou končetin s nestabilitou nebo funkční deformitou nohy vyžadující trvalé odlehčení končetin pomocí ortézy nebo vozíku,</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srdeční selhání u osob zařazených na čekací listinu k transplantaci srdce,</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implantace dlouhodobých podpor oběhu,</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srdeční selhání s klidovými formami dušnosti ve funkční třídě NYHA IV,</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srdeční selhání ve funkční třídě NYHA III, pro které došlo v posledních 12 měsících alespoň dvakrát k hospitalizaci, kdy i po hospitalizacích zůstává funkční třída NYHA III,</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srdeční selhání nejméně ve funkční třídě nejméně NYHA III, je‑li objektivně doloženo omezení funkční výkonnosti, za něž je považován výsledek spiroergometrického vyšetření s dokumentovaným VO</w:t>
      </w:r>
      <w:r>
        <w:rPr>
          <w:vertAlign w:val="subscript"/>
        </w:rPr>
        <w:t xml:space="preserve">2</w:t>
      </w:r>
      <w:r>
        <w:rPr/>
        <w:t xml:space="preserve">max ≤ 14 ml/kg/min, nebo u dítěte ‑ 50 % předpokládaných hodnot pro daný věk dítěte,</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těžká vleklá plicní nemoc vedoucí k respirační insuficienci, pro kterou je poskytována dlouhodobá domácí oxygenoterapie (DDOT)</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těžká vleklá plicní nemoc vedoucí k respirační insuficienci s hyperkapnií, pro kterou je poskytována domácí neinvazivní ventilační podpora (NIV).</w:t>
      </w:r>
    </w:p>
    <w:p>
      <w:pPr>
        <w:ind w:left="900" w:right="0" w:hanging="900"/>
        <w:tabs>
          <w:tab w:val="right" w:leader="none" w:pos="840"/>
          <w:tab w:val="left" w:leader="none" w:pos="900"/>
        </w:tabs>
      </w:pPr>
      <w:r>
        <w:rPr/>
        <w:t xml:space="preserve">	</w:t>
      </w:r>
      <w:r>
        <w:rPr>
          <w:b/>
          <w:bCs/>
        </w:rPr>
        <w:t xml:space="preserve">5.</w:t>
      </w:r>
      <w:r>
        <w:rPr/>
        <w:t xml:space="preserve">	</w:t>
      </w:r>
      <w:r>
        <w:rPr>
          <w:b/>
          <w:bCs/>
        </w:rPr>
        <w:t xml:space="preserve">Zdravotní postižení odůvodňující přiznání příspěvku na zvláštní pomůcku na pořízení motorového vozidla nebo speciálního zádržního systému, za které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l) a m),</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autistické poruchy s těžkým funkčním postižením, s opakovanými závažnými a objektivně prokázanými projevy autoagrese nebo heteroagrese přetrvávajícími i přes zavedenou léčbu.</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7"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7"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7"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7"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7"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7"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7"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7"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7"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7"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7"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8"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7"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7"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7"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7"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7"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7" w:history="1">
        <w:r>
          <w:rPr>
            <w:color w:val="darkblue"/>
            <w:u w:val="single"/>
          </w:rPr>
          <w:t xml:space="preserve">329/2011 Sb.</w:t>
        </w:r>
      </w:hyperlink>
      <w:r>
        <w:rPr/>
        <w:t xml:space="preserve">, ve znění účinném přede dnem 1. ledna 2015, se dokončí podle zákona č. </w:t>
      </w:r>
      <w:hyperlink r:id="rId317"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7"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7"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7"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p>
      <w:pPr>
        <w:pStyle w:val="Heading1"/>
      </w:pPr>
      <w:r>
        <w:rPr>
          <w:b/>
          <w:bCs/>
        </w:rPr>
        <w:t xml:space="preserve">ČI. II zákona č. 301/2017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Úřad práce České republiky – krajské pobočky a pobočka pro hlavní město Prahu upraví částky příspěvku na mobilitu podle § 7 zákona č. </w:t>
      </w:r>
      <w:hyperlink r:id="rId317" w:history="1">
        <w:r>
          <w:rPr>
            <w:color w:val="darkblue"/>
            <w:u w:val="single"/>
          </w:rPr>
          <w:t xml:space="preserve">329/2011 Sb.</w:t>
        </w:r>
      </w:hyperlink>
      <w:r>
        <w:rPr/>
        <w:t xml:space="preserve">, ve znění účinném ode dne nabytí účinnosti tohoto zákona, bez žádosti. O změně výše příspěvku na mobilitu se učiní záznam do spisu.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Příspěvek na mobilitu podle § 7 zákona č. </w:t>
      </w:r>
      <w:hyperlink r:id="rId317" w:history="1">
        <w:r>
          <w:rPr>
            <w:color w:val="darkblue"/>
            <w:u w:val="single"/>
          </w:rPr>
          <w:t xml:space="preserve">329/2011 Sb.</w:t>
        </w:r>
      </w:hyperlink>
      <w:r>
        <w:rPr/>
        <w:t xml:space="preserve">, ve znění účinném ode dne nabytí účinnosti tohoto zákona, náleží poprvé od splátky náležející za leden 2018.</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Úřad práce České republiky – krajské pobočky a pobočka pro hlavní město Prahu zašle nejpozději do dne výplaty příspěvku na mobilitu za leden 2018 písemné sdělení o změně výše příspěvku na mobilitu. Toto sdělení se nedoručuje do vlastních rukou.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příspěvku na mobilitu zahájená a pravomocně neskončená přede dnem nabytí účinnosti tohoto zákona se dokončí podle zákona č. </w:t>
      </w:r>
      <w:hyperlink r:id="rId317"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Řízení o příspěvku na zvláštní pomůcku zahájená a pravomocně neskončená přede dnem nabytí účinnosti tohoto zákona se dokončí podle zákona č. </w:t>
      </w:r>
      <w:hyperlink r:id="rId317"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Lhůta pro opětovné poskytnutí příspěvku na zvláštní pomůcku, který je poskytován na pořízení motorového vozidla, činí 84 kalendářních měsíců podle § 9 odst. 11 zákona č. </w:t>
      </w:r>
      <w:hyperlink r:id="rId317"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7" w:history="1">
        <w:r>
          <w:rPr>
            <w:color w:val="darkblue"/>
            <w:u w:val="single"/>
          </w:rPr>
          <w:t xml:space="preserve">329/2011 Sb.</w:t>
        </w:r>
      </w:hyperlink>
      <w:r>
        <w:rPr/>
        <w:t xml:space="preserve">, ve znění účinném ode dne nabytí účinnosti tohoto zákona, též tehdy, pokud byl příspěvek pravomocně přiznán přede dnem nabytí účinnosti tohoto zákona. V případě uvedeném ve větě první počíná lhůta běžet od kalendářního měsíce následujícího po kalendářním měsíci, ve kterém nabylo právní moci rozhodnutí o tomto příspěvku. Pokud přede dnem nabytí účinnosti tohoto zákona již uplynula lhůta 84 kalendářních měsíců podle § 9 odst. 11 zákona č. </w:t>
      </w:r>
      <w:hyperlink r:id="rId317"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7" w:history="1">
        <w:r>
          <w:rPr>
            <w:color w:val="darkblue"/>
            <w:u w:val="single"/>
          </w:rPr>
          <w:t xml:space="preserve">329/2011 Sb.</w:t>
        </w:r>
      </w:hyperlink>
      <w:r>
        <w:rPr/>
        <w:t xml:space="preserve">, ve znění účinném ode dne nabytí účinnosti tohoto zákona, a zároveň neuplynula lhůta 120 kalendářních měsíců, podle § 9 odst. 11 zákona č. </w:t>
      </w:r>
      <w:hyperlink r:id="rId317" w:history="1">
        <w:r>
          <w:rPr>
            <w:color w:val="darkblue"/>
            <w:u w:val="single"/>
          </w:rPr>
          <w:t xml:space="preserve">329/2011 Sb.</w:t>
        </w:r>
      </w:hyperlink>
      <w:r>
        <w:rPr/>
        <w:t xml:space="preserve">, ve znění účinném přede dnem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7" w:history="1">
        <w:r>
          <w:rPr>
            <w:color w:val="darkblue"/>
            <w:u w:val="single"/>
          </w:rPr>
          <w:t xml:space="preserve">329/2011 Sb.</w:t>
        </w:r>
      </w:hyperlink>
      <w:r>
        <w:rPr/>
        <w:t xml:space="preserve">, ve znění účinném přede dnem nabytí účinnosti tohoto zákona, vzniká nárok na opětovné poskytnutí příspěvku na zvláštní pomůcku, který je poskytován na pořízení motorového vozidla, dnem nabytí účinnosti tohoto zákona; dnem nabytí účinnosti tohoto zákona se v takových případech rovněž pokládají za proběhlé navazující lhůty ohledně povinnosti vrátit příspěvek na zvláštní pomůcku, který je poskytován na pořízení motorového vozidla.</w:t>
      </w:r>
    </w:p>
    <w:p>
      <w:pPr>
        <w:pStyle w:val="Heading1"/>
      </w:pPr>
      <w:r>
        <w:rPr>
          <w:b/>
          <w:bCs/>
        </w:rPr>
        <w:t xml:space="preserve">ČÁST PRVNÍ (ČI. II) zákona č. 228/2019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Stanovení výše příspěvku na zvláštní pomůcku podle § 10 odstavců 3 a 5 zákona č. </w:t>
      </w:r>
      <w:hyperlink r:id="rId317" w:history="1">
        <w:r>
          <w:rPr>
            <w:color w:val="darkblue"/>
            <w:u w:val="single"/>
          </w:rPr>
          <w:t xml:space="preserve">329/2011 Sb.</w:t>
        </w:r>
      </w:hyperlink>
      <w:r>
        <w:rPr/>
        <w:t xml:space="preserve"> v řízení zahájeném na základě žádosti o příspěvek na pořízení zvláštní pomůcky podané přede dnem nabytí účinnosti tohoto zákona, které nebylo doposud pravomocně skončeno, se řídí předpisy účinnými přede dnem nabytí účinnosti tohoto zákona.</w:t>
      </w:r>
    </w:p>
    <w:p>
      <w:pPr>
        <w:pStyle w:val="Heading1"/>
      </w:pPr>
      <w:r>
        <w:rPr>
          <w:b/>
          <w:bCs/>
        </w:rPr>
        <w:t xml:space="preserve">ČI. II zákona č. 252/2021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příspěvku na zvláštní pomůcku zahájená přede dnem nabytí účinnosti tohoto zákona a do tohoto dne pravomocně neskončená se dokončí a práva a povinnosti s nimi související se posoudí podle zákona č. </w:t>
      </w:r>
      <w:hyperlink r:id="rId317"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o přiznání průkazu osoby se zdravotním postižením zahájená přede dnem nabytí účinnosti tohoto zákona a do tohoto dne pravomocně neskončená se dokončí podle předpisů účinných přede dnem nabytí účinnosti tohoto zákona.</w:t>
      </w:r>
    </w:p>
    <w:sectPr>
      <w:headerReference w:type="default" r:id="rId319"/>
      <w:footerReference w:type="default" r:id="rId3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252/2021 Sb. z </w:t>
          </w:r>
          <w:r>
            <w:rPr>
              <w:rStyle w:val="bold"/>
            </w:rPr>
            <w:t xml:space="preserve">1. 1. 2022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2017s183"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88" TargetMode="External"/><Relationship Id="rId317" Type="http://schemas.openxmlformats.org/officeDocument/2006/relationships/hyperlink" Target="https://esipa.cz/sbirka/sbsrv.dll/sb?DR=SB&amp;CP=2011s329" TargetMode="External"/><Relationship Id="rId318" Type="http://schemas.openxmlformats.org/officeDocument/2006/relationships/hyperlink" Target="https://esipa.cz/sbirka/sbsrv.dll/sb?DR=SB&amp;CP=2011s424" TargetMode="External"/><Relationship Id="rId319" Type="http://schemas.openxmlformats.org/officeDocument/2006/relationships/header" Target="header1.xml"/><Relationship Id="rId3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252/2021 Sb. z 1. 1. 2022</dc:title>
  <dc:description>Zákon o poskytování dávek osobám se zdravotním postižením a o změně souvisejících zákonů</dc:description>
  <dc:subject/>
  <cp:keywords/>
  <cp:category/>
  <cp:lastModifiedBy/>
  <dcterms:created xsi:type="dcterms:W3CDTF">2022-01-01T00:00:00+01:00</dcterms:created>
  <dcterms:modified xsi:type="dcterms:W3CDTF">2024-04-18T09:00:13+02:00</dcterms:modified>
</cp:coreProperties>
</file>

<file path=docProps/custom.xml><?xml version="1.0" encoding="utf-8"?>
<Properties xmlns="http://schemas.openxmlformats.org/officeDocument/2006/custom-properties" xmlns:vt="http://schemas.openxmlformats.org/officeDocument/2006/docPropsVTypes"/>
</file>