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/>
        <w:spacing w:after="0" w:line="480" w:lineRule="auto"/>
      </w:pPr>
      <w:r>
        <w:rPr>
          <w:b/>
          <w:bCs/>
        </w:rPr>
        <w:t xml:space="preserve">213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NÁLEZ</w:t>
      </w:r>
    </w:p>
    <w:p>
      <w:pPr>
        <w:jc w:val="center"/>
        <w:ind w:left="0" w:right="0"/>
        <w:spacing w:after="0"/>
      </w:pPr>
      <w:r>
        <w:rPr/>
        <w:t xml:space="preserve">Ústavního soudu</w:t>
      </w:r>
    </w:p>
    <w:p>
      <w:pPr>
        <w:jc w:val="center"/>
        <w:ind w:left="0" w:right="0"/>
        <w:spacing w:after="0"/>
      </w:pPr>
      <w:r>
        <w:rPr/>
        <w:t xml:space="preserve">ze dne 15. května 2024</w:t>
      </w:r>
    </w:p>
    <w:p>
      <w:pPr>
        <w:jc w:val="center"/>
        <w:ind w:left="0" w:right="0"/>
        <w:spacing w:after="0"/>
      </w:pPr>
      <w:hyperlink r:id="rId7" w:history="1">
        <w:r>
          <w:rPr>
            <w:color w:val="darkblue"/>
            <w:u w:val="single"/>
          </w:rPr>
          <w:t xml:space="preserve">sp. zn. Pl. ÚS 44/23</w:t>
        </w:r>
      </w:hyperlink>
      <w:r>
        <w:rPr>
          <w:b/>
          <w:bCs/>
        </w:rPr>
        <w:t xml:space="preserve"> ve věci návrhu na zrušení obecně závazné vyhlášky obce Píšť č. 1/2022, o nočním klidu</w:t>
      </w:r>
    </w:p>
    <w:p>
      <w:pPr>
        <w:jc w:val="center"/>
        <w:ind w:left="0" w:right="0"/>
        <w:spacing w:after="0"/>
      </w:pPr>
      <w:r>
        <w:rPr>
          <w:b/>
          <w:bCs/>
        </w:rPr>
        <w:t xml:space="preserve">Jménem republiky</w:t>
      </w:r>
    </w:p>
    <w:p/>
    <w:p>
      <w:pPr>
        <w:jc w:val="left"/>
        <w:ind w:left="0" w:right="0"/>
        <w:spacing w:after="0"/>
      </w:pPr>
      <w:r>
        <w:rPr/>
        <w:t xml:space="preserve">Ústavní soud rozhodl pod </w:t>
      </w:r>
      <w:hyperlink r:id="rId7" w:history="1">
        <w:r>
          <w:rPr>
            <w:color w:val="darkblue"/>
            <w:u w:val="single"/>
          </w:rPr>
          <w:t xml:space="preserve">sp. zn. Pl. ÚS 44/23</w:t>
        </w:r>
      </w:hyperlink>
      <w:r>
        <w:rPr/>
        <w:t xml:space="preserve"> dne 15. května 2024 v plénu složeném z předsedy soudu Josefa Baxy a soudců a soudkyň Lucie Dolanské Bányaiové, Josefa Fialy, Milana Hulmáka, Veroniky Křesťanové, Zdeňka Kühna, Tomáše Lichovníka, Kateřiny Ronovské, Jana Svatoně, Pavla Šámala, Vojtěcha Šimíčka, Davida Uhlíře, Jana Wintra a Daniely Zemanové (soudkyně zpravodajka) o návrhu veřejného ochránce práv na zrušení obecně závazné vyhlášky obce Píšť č. 1/2022, o nočním klidu, za účasti obce Píšť, se sídlem Opavská 58/2, Píšť, jako účastnice řízení,</w:t>
      </w:r>
    </w:p>
    <w:p>
      <w:pPr>
        <w:jc w:val="center"/>
        <w:ind w:left="0" w:right="0"/>
        <w:spacing w:before="240" w:after="0"/>
      </w:pPr>
      <w:r>
        <w:rPr/>
        <w:t xml:space="preserve">takto:</w:t>
      </w:r>
    </w:p>
    <w:p>
      <w:pPr>
        <w:spacing w:after="0"/>
      </w:pPr>
      <w:pPr>
        <w:rPr/>
      </w:pPr>
    </w:p>
    <w:p>
      <w:pPr/>
      <w:r>
        <w:pict>
          <v:shape id="_x0000_s1011" type="#_x0000_t32" style="width:600pt; height:0pt; margin-left:0pt; margin-top:0pt; mso-position-horizontal:left; mso-position-vertical:top; mso-position-horizontal-relative:char; mso-position-vertical-relative:line;">
            <w10:wrap type="inline"/>
            <v:stroke weight="1pt" color="#ccc"/>
          </v:shape>
        </w:pict>
      </w:r>
    </w:p>
    <w:p>
      <w:pPr>
        <w:ind w:left="0" w:right="0"/>
      </w:pPr>
      <w:r>
        <w:rPr>
          <w:b/>
          <w:bCs/>
        </w:rPr>
        <w:t xml:space="preserve">Návrh zamítá.</w:t>
      </w:r>
    </w:p>
    <w:p>
      <w:pPr>
        <w:spacing w:after="0"/>
      </w:pPr>
      <w:pPr>
        <w:rPr/>
      </w:pPr>
    </w:p>
    <w:p>
      <w:pPr>
        <w:jc w:val="center"/>
        <w:ind w:left="0" w:right="0"/>
        <w:spacing w:after="0"/>
      </w:pPr>
      <w:r>
        <w:rPr/>
        <w:t xml:space="preserve">Předseda Ústavního soudu:</w:t>
      </w:r>
    </w:p>
    <w:p>
      <w:pPr>
        <w:jc w:val="center"/>
        <w:ind w:left="0" w:right="0"/>
        <w:spacing w:after="0"/>
      </w:pPr>
      <w:r>
        <w:rPr/>
        <w:t xml:space="preserve">JUDr. </w:t>
      </w:r>
      <w:r>
        <w:rPr>
          <w:b/>
          <w:bCs/>
        </w:rPr>
        <w:t xml:space="preserve">Baxa</w:t>
      </w:r>
      <w:r>
        <w:rPr/>
        <w:t xml:space="preserve"> v. r.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 xml:space="preserve">PAGE</w:instrText>
    </w:r>
    <w:r>
      <w:fldChar w:fldCharType="separate"/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 xml:space="preserve">NUMPAGES</w:instrText>
    </w:r>
    <w:r>
      <w:fldChar w:fldCharType="separate"/>
    </w:r>
    <w:r>
      <w:fldChar w:fldCharType="end"/>
    </w:r>
    <w:r>
      <w:rPr>
        <w:rStyle w:val="bold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500" w:type="dxa"/>
      <w:gridCol w:w="500" w:type="dxa"/>
    </w:tblGrid>
    <w:tblPr>
      <w:tblW w:w="5000" w:type="pct"/>
    </w:tblPr>
    <w:tr>
      <w:trPr/>
      <w:tc>
        <w:tcPr>
          <w:tcW w:w="3500" w:type="dxa"/>
        </w:tcPr>
        <w:p>
          <w:pPr/>
          <w:r>
            <w:rPr>
              <w:rStyle w:val="bold"/>
            </w:rPr>
            <w:t xml:space="preserve">213/2024 Sb.</w:t>
          </w:r>
          <w:r>
            <w:rPr/>
            <w:t xml:space="preserve"> - původní znění</w:t>
          </w:r>
        </w:p>
      </w:tc>
      <w:tc>
        <w:tcPr>
          <w:tcW w:w="500" w:type="dxa"/>
        </w:tcPr>
        <w:p>
          <w:pPr>
            <w:pStyle w:val="right"/>
          </w:pPr>
          <w:hyperlink r:id="rId1" w:history="1">
            <w:r>
              <w:rPr>
                <w:rStyle w:val="bold"/>
              </w:rPr>
              <w:t xml:space="preserve">esipa.cz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cs-cz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  <w:lang w:val="cs-cz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ld"/>
    <w:rPr>
      <w:b/>
      <w:bCs/>
    </w:rPr>
  </w:style>
  <w:style w:type="character">
    <w:name w:val="hidden"/>
    <w:rPr>
      <w:color w:val="#FFFFFF"/>
      <w:sz w:val="2"/>
      <w:szCs w:val="2"/>
    </w:rPr>
  </w:style>
  <w:style w:type="paragraph" w:customStyle="1" w:styleId="center">
    <w:name w:val="center"/>
    <w:basedOn w:val="Normal"/>
    <w:pPr>
      <w:jc w:val="center"/>
    </w:pPr>
  </w:style>
  <w:style w:type="paragraph" w:customStyle="1" w:styleId="right">
    <w:name w:val="right"/>
    <w:basedOn w:val="Normal"/>
    <w:pPr>
      <w:jc w:val="right"/>
    </w:pPr>
  </w:style>
  <w:style w:type="paragraph" w:styleId="Heading1">
    <w:link w:val="Heading1Char"/>
    <w:name w:val="heading 1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2">
    <w:link w:val="Heading2Char"/>
    <w:name w:val="heading 2"/>
    <w:basedOn w:val="Normal"/>
    <w:pPr>
      <w:jc w:val="center"/>
      <w:spacing w:before="700" w:line="192" w:lineRule="auto"/>
    </w:pPr>
    <w:rPr>
      <w:sz w:val="36"/>
      <w:szCs w:val="36"/>
    </w:rPr>
  </w:style>
  <w:style w:type="paragraph" w:styleId="Heading3">
    <w:link w:val="Heading3Char"/>
    <w:name w:val="heading 3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4">
    <w:link w:val="Heading4Char"/>
    <w:name w:val="heading 4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5">
    <w:link w:val="Heading5Char"/>
    <w:name w:val="heading 5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6">
    <w:link w:val="Heading6Char"/>
    <w:name w:val="heading 6"/>
    <w:basedOn w:val="Normal"/>
    <w:pPr>
      <w:jc w:val="center"/>
      <w:spacing w:before="700" w:line="192" w:lineRule="auto"/>
    </w:pPr>
    <w:rPr>
      <w:sz w:val="33.599999999999994"/>
      <w:szCs w:val="33.599999999999994"/>
    </w:rPr>
  </w:style>
  <w:style w:type="paragraph" w:styleId="Heading7">
    <w:link w:val="Heading7Char"/>
    <w:name w:val="heading 7"/>
    <w:basedOn w:val="Normal"/>
    <w:pPr>
      <w:jc w:val="center"/>
      <w:spacing w:before="700" w:line="192" w:lineRule="auto"/>
    </w:pPr>
    <w:rPr>
      <w:sz w:val="33.599999999999994"/>
      <w:szCs w:val="33.5999999999999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lus.usoud.cz/Search/GetText.aspx?sz=Pl-44-2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ESIPA s.r.o.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ESIPA s.r.o.</dc:creator>
  <dc:title>213/2024 Sb. - původní znění</dc:title>
  <dc:description>Nález Ústavního soudu sp. zn. Pl. ÚS 44/23 ve věci návrhu na zrušení obecně závazné vyhlášky obce Píšť č. 1/2022, o nočním klidu</dc:description>
  <dc:subject/>
  <cp:keywords/>
  <cp:category/>
  <cp:lastModifiedBy/>
  <dcterms:created xsi:type="dcterms:W3CDTF">2024-07-11T00:00:00+02:00</dcterms:created>
  <dcterms:modified xsi:type="dcterms:W3CDTF">2024-07-15T17:00:12+02:00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