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/>
        <w:spacing w:after="0" w:line="480" w:lineRule="auto"/>
      </w:pPr>
      <w:r>
        <w:rPr>
          <w:b/>
          <w:bCs/>
        </w:rPr>
        <w:t xml:space="preserve">203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NAŘÍZENÍ VLÁDY</w:t>
      </w:r>
    </w:p>
    <w:p>
      <w:pPr>
        <w:jc w:val="center"/>
        <w:ind w:left="0" w:right="0"/>
        <w:spacing w:after="0"/>
      </w:pPr>
      <w:r>
        <w:rPr/>
        <w:t xml:space="preserve">ze dne 26. června 2024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o stanovení výše prostředků státního rozpočtu určených pro poskytnutí finančních kompenzací nepřímých nákladů pro odvětví, u kterých bylo zjištěno značné riziko úniku uhlíku v důsledku promítnutí nákladů spojených s emisemi skleníkových plynů do cen elektřiny, za rok 2023</w:t>
      </w:r>
    </w:p>
    <w:p/>
    <w:p>
      <w:pPr>
        <w:jc w:val="left"/>
        <w:ind w:left="0" w:right="0"/>
        <w:spacing w:after="0"/>
      </w:pPr>
      <w:r>
        <w:rPr/>
        <w:t xml:space="preserve">Vláda nařizuje podle </w:t>
      </w:r>
      <w:hyperlink r:id="rId7" w:history="1">
        <w:r>
          <w:rPr>
            <w:color w:val="darkblue"/>
            <w:u w:val="single"/>
          </w:rPr>
          <w:t xml:space="preserve">§ 11</w:t>
        </w:r>
      </w:hyperlink>
      <w:r>
        <w:rPr/>
        <w:t xml:space="preserve"> odst. 1 zákona č. </w:t>
      </w:r>
      <w:hyperlink r:id="rId8" w:history="1">
        <w:r>
          <w:rPr>
            <w:color w:val="darkblue"/>
            <w:u w:val="single"/>
          </w:rPr>
          <w:t xml:space="preserve">383/2012 Sb.</w:t>
        </w:r>
      </w:hyperlink>
      <w:r>
        <w:rPr/>
        <w:t xml:space="preserve">, o podmínkách obchodování s povolenkami na emise skleníkových plynů, ve znění zákona č. </w:t>
      </w:r>
      <w:hyperlink r:id="rId9" w:history="1">
        <w:r>
          <w:rPr>
            <w:color w:val="darkblue"/>
            <w:u w:val="single"/>
          </w:rPr>
          <w:t xml:space="preserve">1/2020 Sb.</w:t>
        </w:r>
      </w:hyperlink>
      <w:r>
        <w:rPr/>
        <w:t xml:space="preserve">:</w:t>
      </w:r>
    </w:p>
    <w:p>
      <w:pPr>
        <w:spacing w:after="0"/>
      </w:pPr>
      <w:pPr>
        <w:rPr/>
      </w:pPr>
    </w:p>
    <w:p>
      <w:pPr/>
      <w:r>
        <w:pict>
          <v:shape id="_x0000_s1008" type="#_x0000_t32" style="width:600pt; height:0pt; margin-left:0pt; margin-top:0pt; mso-position-horizontal:left; mso-position-vertical:top; mso-position-horizontal-relative:char; mso-position-vertical-relative:line;">
            <w10:wrap type="inline"/>
            <v:stroke weight="1pt" color="#ccc"/>
          </v:shape>
        </w:pict>
      </w:r>
    </w:p>
    <w:p>
      <w:pPr>
        <w:pStyle w:val="Heading1"/>
      </w:pPr>
      <w:r>
        <w:rPr>
          <w:b/>
          <w:bCs/>
        </w:rPr>
        <w:t xml:space="preserve">§ 1</w:t>
      </w:r>
      <w:r>
        <w:rPr>
          <w:rStyle w:val="hidden"/>
        </w:rPr>
        <w:t xml:space="preserve"> -</w:t>
      </w:r>
      <w:br/>
      <w:r>
        <w:rPr/>
        <w:t xml:space="preserve">Výše prostředků státního rozpočtu</w:t>
      </w:r>
    </w:p>
    <w:p>
      <w:pPr>
        <w:ind w:left="0" w:right="0"/>
      </w:pPr>
      <w:r>
        <w:rPr/>
        <w:t xml:space="preserve">Výše prostředků státního rozpočtu určených pro poskytnutí finančních kompenzací nepřímých nákladů pro odvětví, u kterých bylo zjištěno značné riziko úniku uhlíku v důsledku promítnutí nákladů spojených s emisemi do cen elektřiny, za rok 2023 činí 2 146 390 600,41 Kč.</w:t>
      </w:r>
    </w:p>
    <w:p>
      <w:pPr>
        <w:pStyle w:val="Heading1"/>
      </w:pPr>
      <w:r>
        <w:rPr>
          <w:b/>
          <w:bCs/>
        </w:rPr>
        <w:t xml:space="preserve">§ 2</w:t>
      </w:r>
      <w:r>
        <w:rPr>
          <w:rStyle w:val="hidden"/>
        </w:rPr>
        <w:t xml:space="preserve"> -</w:t>
      </w:r>
      <w:br/>
      <w:r>
        <w:rPr/>
        <w:t xml:space="preserve">Účinnost</w:t>
      </w:r>
    </w:p>
    <w:p>
      <w:pPr>
        <w:ind w:left="0" w:right="0"/>
      </w:pPr>
      <w:r>
        <w:rPr/>
        <w:t xml:space="preserve">Toto nařízení nabývá účinnosti dnem 1. července 2024.</w:t>
      </w:r>
    </w:p>
    <w:p>
      <w:pPr>
        <w:spacing w:after="0"/>
      </w:pPr>
      <w:pPr>
        <w:rPr/>
      </w:pPr>
    </w:p>
    <w:p>
      <w:pPr>
        <w:jc w:val="center"/>
        <w:ind w:left="0" w:right="0"/>
        <w:spacing w:after="0"/>
      </w:pPr>
      <w:r>
        <w:rPr/>
        <w:t xml:space="preserve">Předseda vlády:</w:t>
      </w:r>
    </w:p>
    <w:p>
      <w:pPr>
        <w:jc w:val="center"/>
        <w:ind w:left="0" w:right="0"/>
        <w:spacing w:after="0"/>
      </w:pPr>
      <w:r>
        <w:rPr/>
        <w:t xml:space="preserve">prof. PhDr. </w:t>
      </w:r>
      <w:r>
        <w:rPr>
          <w:b/>
          <w:bCs/>
        </w:rPr>
        <w:t xml:space="preserve">Fiala</w:t>
      </w:r>
      <w:r>
        <w:rPr/>
        <w:t xml:space="preserve">, Ph.D., LL.M., v. r.</w:t>
      </w:r>
    </w:p>
    <w:p>
      <w:pPr>
        <w:spacing w:after="0"/>
      </w:pPr>
      <w:pPr>
        <w:rPr/>
      </w:pPr>
    </w:p>
    <w:p>
      <w:pPr>
        <w:jc w:val="center"/>
        <w:ind w:left="0" w:right="0"/>
        <w:spacing w:after="0"/>
      </w:pPr>
      <w:r>
        <w:rPr/>
        <w:t xml:space="preserve">Ministr životního prostředí:</w:t>
      </w:r>
    </w:p>
    <w:p>
      <w:pPr>
        <w:jc w:val="center"/>
        <w:ind w:left="0" w:right="0"/>
        <w:spacing w:after="0"/>
      </w:pPr>
      <w:r>
        <w:rPr/>
        <w:t xml:space="preserve">Mgr. </w:t>
      </w:r>
      <w:r>
        <w:rPr>
          <w:b/>
          <w:bCs/>
        </w:rPr>
        <w:t xml:space="preserve">Hladík</w:t>
      </w:r>
      <w:r>
        <w:rPr/>
        <w:t xml:space="preserve"> v. r.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 xml:space="preserve">PAGE</w:instrText>
    </w:r>
    <w:r>
      <w:fldChar w:fldCharType="separate"/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 xml:space="preserve">NUMPAGES</w:instrText>
    </w:r>
    <w:r>
      <w:fldChar w:fldCharType="separate"/>
    </w:r>
    <w:r>
      <w:fldChar w:fldCharType="end"/>
    </w:r>
    <w:r>
      <w:rPr>
        <w:rStyle w:val="bold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500" w:type="dxa"/>
      <w:gridCol w:w="500" w:type="dxa"/>
    </w:tblGrid>
    <w:tblPr>
      <w:tblW w:w="5000" w:type="pct"/>
    </w:tblPr>
    <w:tr>
      <w:trPr/>
      <w:tc>
        <w:tcPr>
          <w:tcW w:w="3500" w:type="dxa"/>
        </w:tcPr>
        <w:p>
          <w:pPr/>
          <w:r>
            <w:rPr>
              <w:rStyle w:val="bold"/>
            </w:rPr>
            <w:t xml:space="preserve">203/2024 Sb.</w:t>
          </w:r>
          <w:r>
            <w:rPr/>
            <w:t xml:space="preserve"> - původní znění</w:t>
          </w:r>
        </w:p>
      </w:tc>
      <w:tc>
        <w:tcPr>
          <w:tcW w:w="500" w:type="dxa"/>
        </w:tcPr>
        <w:p>
          <w:pPr>
            <w:pStyle w:val="right"/>
          </w:pPr>
          <w:hyperlink r:id="rId1" w:history="1">
            <w:r>
              <w:rPr>
                <w:rStyle w:val="bold"/>
              </w:rPr>
              <w:t xml:space="preserve">esipa.cz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cs-cz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  <w:lang w:val="cs-cz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ld"/>
    <w:rPr>
      <w:b/>
      <w:bCs/>
    </w:rPr>
  </w:style>
  <w:style w:type="character">
    <w:name w:val="hidden"/>
    <w:rPr>
      <w:color w:val="#FFFFFF"/>
      <w:sz w:val="2"/>
      <w:szCs w:val="2"/>
    </w:rPr>
  </w:style>
  <w:style w:type="paragraph" w:customStyle="1" w:styleId="center">
    <w:name w:val="center"/>
    <w:basedOn w:val="Normal"/>
    <w:pPr>
      <w:jc w:val="center"/>
    </w:pPr>
  </w:style>
  <w:style w:type="paragraph" w:customStyle="1" w:styleId="right">
    <w:name w:val="right"/>
    <w:basedOn w:val="Normal"/>
    <w:pPr>
      <w:jc w:val="right"/>
    </w:pPr>
  </w:style>
  <w:style w:type="paragraph" w:styleId="Heading1">
    <w:link w:val="Heading1Char"/>
    <w:name w:val="heading 1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2">
    <w:link w:val="Heading2Char"/>
    <w:name w:val="heading 2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3">
    <w:link w:val="Heading3Char"/>
    <w:name w:val="heading 3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4">
    <w:link w:val="Heading4Char"/>
    <w:name w:val="heading 4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5">
    <w:link w:val="Heading5Char"/>
    <w:name w:val="heading 5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6">
    <w:link w:val="Heading6Char"/>
    <w:name w:val="heading 6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7">
    <w:link w:val="Heading7Char"/>
    <w:name w:val="heading 7"/>
    <w:basedOn w:val="Normal"/>
    <w:pPr>
      <w:jc w:val="center"/>
      <w:spacing w:before="700" w:line="192" w:lineRule="auto"/>
    </w:pPr>
    <w:rPr>
      <w:sz w:val="33.599999999999994"/>
      <w:szCs w:val="33.5999999999999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ipa.cz/sbirka/sbsrv.dll/sb?DR=AZ&amp;CP=2012s383-2024s080#P11" TargetMode="External"/><Relationship Id="rId8" Type="http://schemas.openxmlformats.org/officeDocument/2006/relationships/hyperlink" Target="https://esipa.cz/sbirka/sbsrv.dll/sb?DR=SB&amp;CP=2012s383" TargetMode="External"/><Relationship Id="rId9" Type="http://schemas.openxmlformats.org/officeDocument/2006/relationships/hyperlink" Target="https://esipa.cz/sbirka/sbsrv.dll/sb?DR=SB&amp;CP=2020s001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ESIPA s.r.o.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ESIPA s.r.o.</dc:creator>
  <dc:title>203/2024 Sb. - původní znění</dc:title>
  <dc:description>Nařízení vlády o stanovení výše prostředků státního rozpočtu určených pro poskytnutí finančních kompenzací nepřímých nákladů pro odvětví, u kterých bylo zjištěno značné riziko úniku uhlíku v důsledku promítnutí nákladů spojených s emisemi skleníkových plynů do cen elektřiny, za rok 2023</dc:description>
  <dc:subject/>
  <cp:keywords/>
  <cp:category/>
  <cp:lastModifiedBy/>
  <dcterms:created xsi:type="dcterms:W3CDTF">2024-07-01T00:00:00+02:00</dcterms:created>
  <dcterms:modified xsi:type="dcterms:W3CDTF">2024-07-04T11:00:12+02:00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