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501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10. listopadu 2006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obecných požadavcích na využívání území</w:t>
      </w:r>
    </w:p>
    <w:p/>
    <w:p>
      <w:pPr>
        <w:jc w:val="left"/>
        <w:ind w:left="0" w:right="0"/>
        <w:spacing w:after="0"/>
      </w:pPr>
      <w:r>
        <w:rPr/>
        <w:t xml:space="preserve">Ministerstvo pro místní rozvoj stanoví podle </w:t>
      </w:r>
      <w:hyperlink r:id="rId7" w:history="1">
        <w:r>
          <w:rPr>
            <w:color w:val="darkblue"/>
            <w:u w:val="single"/>
          </w:rPr>
          <w:t xml:space="preserve">§ 193</w:t>
        </w:r>
      </w:hyperlink>
      <w:r>
        <w:rPr/>
        <w:t xml:space="preserve"> a </w:t>
      </w:r>
      <w:hyperlink r:id="rId8" w:history="1">
        <w:r>
          <w:rPr>
            <w:color w:val="darkblue"/>
            <w:u w:val="single"/>
          </w:rPr>
          <w:t xml:space="preserve">§ 194</w:t>
        </w:r>
      </w:hyperlink>
      <w:r>
        <w:rPr/>
        <w:t xml:space="preserve"> písm. a) zákona č. </w:t>
      </w:r>
      <w:hyperlink r:id="rId9" w:history="1">
        <w:r>
          <w:rPr>
            <w:color w:val="darkblue"/>
            <w:u w:val="single"/>
          </w:rPr>
          <w:t xml:space="preserve">183/2006 Sb.</w:t>
        </w:r>
      </w:hyperlink>
      <w:r>
        <w:rPr/>
        <w:t xml:space="preserve">, o územním plánování a stavebním řádu (stavební zákon):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>
          <w:caps/>
        </w:rPr>
        <w:t xml:space="preserve">Obecná ustanovení</w:t>
      </w:r>
    </w:p>
    <w:p>
      <w:pPr>
        <w:pStyle w:val="Heading2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Úvodní ustanovení</w:t>
      </w:r>
    </w:p>
    <w:p>
      <w:pPr>
        <w:ind w:left="0" w:right="0"/>
      </w:pPr>
      <w:r>
        <w:rPr/>
        <w:t xml:space="preserve">Tato vyhláška stanoví obecné požadavky na využívání území při vymezování ploch a pozemků, při stanovování podmínek jejich využití a umisťování staveb na nich a rozhodování o změně stavby a o změně vlivu stavby na využití území.</w:t>
      </w:r>
    </w:p>
    <w:p>
      <w:pPr>
        <w:pStyle w:val="Heading2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Základní pojmy</w:t>
      </w:r>
    </w:p>
    <w:p>
      <w:pPr>
        <w:ind w:left="0" w:right="0"/>
      </w:pPr>
      <w:r>
        <w:rPr/>
        <w:t xml:space="preserve">Pro účely této vyhlášky se rozumí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stavbou pro bydlení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bytový dům, ve kterém více než polovina podlahové plochy odpovídá požadavkům na trvalé bydlení a je k tomuto účelu určena,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rodinný dům, ve kterém více než polovina podlahové plochy odpovídá požadavkům na trvalé rodinné bydlení a je k tomuto účelu určena; rodinný dům může mít nejvýše tři samostatné byty, nejvýše dvě nadzemní a jedno podzemní podlaží a podkroví,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stavbou pro rodinnou rekreaci stavba, jejíž objemové parametry a vzhled odpovídají požadavkům na rodinnou rekreaci a která je k tomuto účelu určena; stavba pro rodinnou rekreaci může mít nejvýše dvě nadzemní a jedno podzemní podlaží a podkroví,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stavbou ubytovacího zařízení stavba nebo její část, kde je poskytováno ubytování a služby s tím spojené; stavbou ubytovacího zařízení není bytový a rodinný dům a stavby pro rodinnou rekreaci; ubytovací zařízení se zařazují podle druhu do kategorií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hotel, kterým se rozumí ubytovací zařízení s nejméně 10 pokoji pro hosty, vybavené pro poskytování přechodného ubytování a služeb s tím spojených;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motel, kterým se rozumí ubytovací zařízení s nejméně 10 pokoji pro hosty, vybavené pro poskytování přechodného ubytování a služeb s tím spojených pro motoristy;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penzion, kterým se rozumí ubytovací zařízení s nejméně 5 pokoji pro hosty, s omezeným rozsahem společenských a doplňkových služeb, avšak s ubytovacími službami srovnatelnými s hotelem;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ostatní ubytovací zařízení, kterými jsou zejména ubytovny, koleje, svobodárny, internáty, kempy a skupiny chat nebo bungalovů, vybavené pro poskytování přechodného ubytování.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ploch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§ 43 stavebního zákona)</w:t>
      </w:r>
    </w:p>
    <w:p>
      <w:pPr>
        <w:pStyle w:val="Heading2"/>
      </w:pPr>
      <w:r>
        <w:rPr>
          <w:b/>
          <w:bCs/>
        </w:rPr>
        <w:t xml:space="preserve">Hlava I</w:t>
      </w:r>
      <w:r>
        <w:rPr>
          <w:rStyle w:val="hidden"/>
        </w:rPr>
        <w:t xml:space="preserve"> -</w:t>
      </w:r>
      <w:br/>
      <w:r>
        <w:rPr>
          <w:caps/>
        </w:rPr>
        <w:t xml:space="preserve">Obecné požadavky na vymezování ploch</w:t>
      </w:r>
    </w:p>
    <w:p>
      <w:pPr>
        <w:pStyle w:val="Heading3"/>
      </w:pPr>
      <w:r>
        <w:rPr>
          <w:b/>
          <w:bCs/>
        </w:rPr>
        <w:t xml:space="preserve">§ 3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K naplňování cílů a úkolů územního plánování (</w:t>
      </w:r>
      <w:hyperlink r:id="rId10" w:history="1">
        <w:r>
          <w:rPr>
            <w:color w:val="darkblue"/>
            <w:u w:val="single"/>
          </w:rPr>
          <w:t xml:space="preserve">§ 18</w:t>
        </w:r>
      </w:hyperlink>
      <w:r>
        <w:rPr/>
        <w:t xml:space="preserve"> a 19 stavebního zákona) a s ohledem na rozdílné nároky na prostředí se území člení územním plánem na plochy, které se s přihlédnutím k účelu a podrobnosti popisu a zobrazování v územním plánu vymezují zpravidla o rozloze větší než 2 000 m</w:t>
      </w:r>
      <w:r>
        <w:rPr>
          <w:vertAlign w:val="superscript"/>
        </w:rPr>
        <w:t xml:space="preserve">2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se vymezují podle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stávajícího nebo požadovaného způsobu využití (dále jen „plochy s rozdílným způsobem využití“); tyto plochy se vymezují ke stanovení územních podmínek, zejména pro vzájemně se doplňující, podmiňující nebo nekolidující činnosti, pro další členění ploch na pozemky a pro stanovení ochrany veřejných zájmů v těchto plochách, jakými jsou ochrana přírodního a kulturního dědictví, civilizačních, architektonických a urbanistických hodnot,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významu; podle významu se rozlišují zejména plochy zastavitelné, plochy územních rezerv (</w:t>
      </w:r>
      <w:hyperlink r:id="rId11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 odst. 1 stavebního zákona), plochy ke změně stávající zástavby, plochy k obnově nebo opětovnému využití znehodnoceného území a plochy rekonstrukčních a rekultivačních zásahů do území [</w:t>
      </w:r>
      <w:hyperlink r:id="rId12" w:history="1">
        <w:r>
          <w:rPr>
            <w:color w:val="darkblue"/>
            <w:u w:val="single"/>
          </w:rPr>
          <w:t xml:space="preserve">§ 43</w:t>
        </w:r>
      </w:hyperlink>
      <w:r>
        <w:rPr/>
        <w:t xml:space="preserve"> odst. 1, </w:t>
      </w:r>
      <w:hyperlink r:id="rId13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 odst. 1 písm. l) stavebního zákona]. Pro tyto plochy se zpravidla určuje i způsob jejich využití.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 rozdílným způsobem využití se vymezují s ohledem na specifické podmínky a charakter území zejména z důvodů omezení střetů vzájemně neslučitelných činností a požadavků na uspořádání a využívání území.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Plochy s rozdílným způsobem využití lze s ohledem na specifické podmínky a charakter území dále podrobněji členit. Ve zvlášť odůvodněných případech a za předpokladu, že je to zdůvodněno v odůvodnění opatření obecné povahy, kterým se vydává územní plán, lze stanovit plochy s jiným způsobem využití, než je stanoveno v </w:t>
      </w:r>
      <w:r>
        <w:rPr/>
        <w:t xml:space="preserve">§ 4</w:t>
      </w:r>
      <w:r>
        <w:rPr/>
        <w:t xml:space="preserve"> až </w:t>
      </w:r>
      <w:r>
        <w:rPr/>
        <w:t xml:space="preserve">19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Obecným požadavkem na vymezování ploch je vytvářet a chránit bezpečně přístupná veřejná prostranství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 v zastavěném území a v zastavitelných plochách, chránit stávající cesty umožňující bezpečný průchod krajinou a vytvářet nové cesty, je-li to nezbytné.</w:t>
      </w:r>
    </w:p>
    <w:p>
      <w:pPr>
        <w:pStyle w:val="Heading2"/>
      </w:pPr>
      <w:r>
        <w:rPr>
          <w:b/>
          <w:bCs/>
        </w:rPr>
        <w:t xml:space="preserve">Hlava II</w:t>
      </w:r>
      <w:r>
        <w:rPr>
          <w:rStyle w:val="hidden"/>
        </w:rPr>
        <w:t xml:space="preserve"> -</w:t>
      </w:r>
      <w:br/>
      <w:r>
        <w:rPr>
          <w:caps/>
        </w:rPr>
        <w:t xml:space="preserve">Plochy s rozdílným způsobem využití</w:t>
      </w:r>
    </w:p>
    <w:p>
      <w:pPr>
        <w:pStyle w:val="Heading3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Plochy bydlení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bydlení se obvykle samostatně vymezují za účelem zajištění podmínek pro bydlení v kvalitním prostředí, umožňujícím nerušený a bezpečný pobyt a každodenní rekreaci a relaxaci obyvatel, dostupnost veřejných prostranství a občanského vybavení.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bydlení zahrnují zpravidla pozemky bytových domů, pozemky rodinných domů, pozemky související dopravní a technické infrastruktury a pozemky veřejných prostranství. Pozemky staveb pro rodinnou rekreaci lze do ploch bydlení zahrnout pouze tehdy, splňují-li podmínky podle </w:t>
      </w:r>
      <w:r>
        <w:rPr/>
        <w:t xml:space="preserve">§ 20</w:t>
      </w:r>
      <w:r>
        <w:rPr/>
        <w:t xml:space="preserve"> odst. 4 a 5. Do ploch bydlení lze zahrnout pozemky souvisejícího občanského vybavení s výjimkou pozemků pro budovy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 obchodního prodeje o výměře větší než 1 000 m</w:t>
      </w:r>
      <w:r>
        <w:rPr>
          <w:vertAlign w:val="superscript"/>
        </w:rPr>
        <w:t xml:space="preserve">2</w:t>
      </w:r>
      <w:r>
        <w:rPr/>
        <w:t xml:space="preserve">. Součástí plochy bydlení mohou být pozemky dalších staveb a zařízení, které nesnižují kvalitu prostředí a pohodu bydlení ve vymezené ploše, jsou slučitelné s bydlením a slouží zejména obyvatelům v takto vymezené ploše.</w:t>
      </w:r>
    </w:p>
    <w:p>
      <w:pPr>
        <w:pStyle w:val="Heading3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Plochy rekreace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rekreace se obvykle samostatně vymezují za účelem zajištění podmínek pro rekreaci v kvalitním prostředí.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rekreace zahrnují zpravidla pozemky staveb pro rodinnou rekreaci, pozemky dalších staveb a zařízení, které souvisejí a jsou slučitelné s rekreací, například veřejných prostranství, občanského vybavení, veřejných tábořišť, přírodních koupališť, rekreačních luk a dalších pozemků související dopravní a technické infrastruktury, které nesnižují kvalitu prostředí ve vymezené ploše a jsou slučitelné s rekreačními aktivitami.</w:t>
      </w:r>
    </w:p>
    <w:p>
      <w:pPr>
        <w:pStyle w:val="Heading3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Plochy občanského vybavení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občanského vybavení se obvykle samostatně vymezují za účelem zajištění podmínek pro přiměřené umístění, dostupnost a využívání staveb občanského vybavení a k zajištění podmínek pro jejich užívání v souladu s jejich účelem.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občanského vybavení zahrnují zejména pozemky staveb a zařízení občanského vybavení pro vzdělávání a výchovu, sociální služby, péči o rodinu, zdravotní služby, kulturu, veřejnou správu, ochranu obyvatelstva. Dále zahrnují pozemky staveb a zařízení pro obchodní prodej, tělovýchovu a sport, ubytování, stravování, služby, vědu a výzkum, lázeňství a pozemky související dopravní a technické infrastruktury a veřejných prostranství. Plochy občanského vybavení musí být vymezeny v přímé návaznosti na kapacitně dostačující plochy dopravní infrastruktury a být z nich přístupné.</w:t>
      </w:r>
    </w:p>
    <w:p>
      <w:pPr>
        <w:pStyle w:val="Heading3"/>
      </w:pPr>
      <w:r>
        <w:rPr>
          <w:b/>
          <w:bCs/>
        </w:rPr>
        <w:t xml:space="preserve">§ 7</w:t>
      </w:r>
      <w:r>
        <w:rPr>
          <w:rStyle w:val="hidden"/>
        </w:rPr>
        <w:t xml:space="preserve"> -</w:t>
      </w:r>
      <w:br/>
      <w:r>
        <w:rPr/>
        <w:t xml:space="preserve">Plochy veřejných prostranství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veřejných prostranství se obvykle samostatně vymezují za účelem zajištění podmínek pro přiměřené umístění, rozsah a dostupnost pozemků veřejných prostranství</w:t>
      </w:r>
      <w:r>
        <w:rPr>
          <w:vertAlign w:val="superscript"/>
        </w:rPr>
        <w:t xml:space="preserve">1</w:t>
      </w:r>
      <w:r>
        <w:rPr/>
        <w:t xml:space="preserve">) a k zajištění podmínek pro jejich užívání v souladu s jejich významem a účelem.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veřejných prostranství zahrnují zpravidla stávající a navrhované pozemky jednotlivých druhů veřejných prostranství a další pozemky související dopravní a technické infrastruktury a občanského vybavení, slučitelné s účelem veřejných prostranství.</w:t>
      </w:r>
    </w:p>
    <w:p>
      <w:pPr>
        <w:pStyle w:val="Heading3"/>
      </w:pPr>
      <w:r>
        <w:rPr>
          <w:b/>
          <w:bCs/>
        </w:rPr>
        <w:t xml:space="preserve">§ 8</w:t>
      </w:r>
      <w:r>
        <w:rPr>
          <w:rStyle w:val="hidden"/>
        </w:rPr>
        <w:t xml:space="preserve"> -</w:t>
      </w:r>
      <w:br/>
      <w:r>
        <w:rPr/>
        <w:t xml:space="preserve">Plochy smíšené obytné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obytné se obvykle samostatně vymezují v případech, kdy s ohledem na charakter zástavby, její urbanistickou strukturu a způsob jejího využití není účelné členit území na plochy bydlení a občanského vybavení a je nezbytné vyloučit umisťování staveb a zařízení, snižujících kvalitu prostředí v této ploše, například pro těžbu, hutnictví, chemii, těžké strojírenství, asanační služby.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obytné zahrnují zpravidla pozemky staveb pro bydlení, případně staveb pro rodinnou rekreaci, pozemky občanského vybavení a veřejných prostranství a dále pozemky související dopravní a technické infrastruktury. Do ploch smíšených obytných lze zahrnout pouze pozemky staveb a zařízení, které svým provozováním a technickým zařízením nenarušují užívání staveb a zařízení ve svém okolí a nesnižují kvalitu prostředí souvisejícího území, například nerušící výroba a služby, zemědělství, které svým charakterem a kapacitou nezvyšují dopravní zátěž v území.</w:t>
      </w:r>
    </w:p>
    <w:p>
      <w:pPr>
        <w:pStyle w:val="Heading3"/>
      </w:pPr>
      <w:r>
        <w:rPr>
          <w:b/>
          <w:bCs/>
        </w:rPr>
        <w:t xml:space="preserve">§ 9</w:t>
      </w:r>
      <w:r>
        <w:rPr>
          <w:rStyle w:val="hidden"/>
        </w:rPr>
        <w:t xml:space="preserve"> -</w:t>
      </w:r>
      <w:br/>
      <w:r>
        <w:rPr/>
        <w:t xml:space="preserve">Plochy dopravní infrastruktury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dopravní infrastruktury se obvykle samostatně vymezují v případech, kdy využití pozemků dopravních staveb a zařízení, zejména z důvodu intenzity dopravy a jejich negativních vlivů, vylučuje začlenění takových pozemků do ploch jiného způsobu využití, a dále tehdy, kdy je vymezení ploch dopravy nezbytné k zajištění dopravní přístupnosti, například ploch výroby, ploch občanského vybavení pro maloobchodní prodej, ploch těžby nerostů.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dopravní infrastruktury zahrnují zpravidla pozemky staveb a zařízení pozemních komunikací, drah, vodních cest, letišť a jiných druhů dopravy. Plochy dopravní infrastruktury se zpravidla člení na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plochy silniční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plochy drážní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plochy letecké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plochy vodní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logistická centra jako plochy kombinované dopravy.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silniční dopravy zahrnují zpravidla silniční pozemky</w:t>
      </w:r>
      <w:r>
        <w:rPr>
          <w:vertAlign w:val="superscript"/>
        </w:rPr>
        <w:t xml:space="preserve">3</w:t>
      </w:r>
      <w:r>
        <w:rPr/>
        <w:t xml:space="preserve">)</w:t>
      </w:r>
      <w:r>
        <w:rPr/>
        <w:t xml:space="preserve"> dálnic, silnic I., II. a III. třídy a místních komunikací I. a II. třídy, výjimečně též místních komunikací III. třídy, které nejsou zahrnuty do jiných ploch, včetně pozemků, na kterých jsou umístěny součásti komunikace, například náspy, zářezy, opěrné zdi, mosty a doprovodné a izolační zeleně, a dále pozemky staveb dopravních zařízení a dopravního vybavení, například autobusová nádraží, terminály, odstavná stání pro autobusy a nákladní automobily, hromadné a řadové garáže a odstavné a parkovací plochy, areály údržby pozemních komunikací, čerpací stanice pohonných hmot.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Plochy drážní dopravy zahrnují zpravidla obvod dráhy</w:t>
      </w:r>
      <w:r>
        <w:rPr>
          <w:vertAlign w:val="superscript"/>
        </w:rPr>
        <w:t xml:space="preserve">4</w:t>
      </w:r>
      <w:r>
        <w:rPr/>
        <w:t xml:space="preserve">)</w:t>
      </w:r>
      <w:r>
        <w:rPr/>
        <w:t xml:space="preserve"> , včetně náspů, zářezů, opěrných zdí, mostů, kolejišť a doprovodné zeleně, dále pozemky zařízení pro drážní dopravu, například stanice, zastávky, nástupiště a přístupové cesty, provozní budovy a pozemky dep, opraven, vozoven, překladišť a správních budov.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Plochy letecké dopravy zahrnují zpravidla pozemky letišť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 , pozemky obslužných komunikací, garáží, parkovišť a odstavných stání.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Plochy vodní dopravy zahrnují zpravidla pozemky vodních ploch, určené pro vodní cesty, například kanály a splavněné úseky řek, pozemky nábřeží pro vodní dopravu, pozemky přístavů, zdymadel, překladišť a související pozemky dopravní a technické infrastruktury.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Logistická centra jako plochy kombinované dopravy zahrnují zpravidla pozemky zařízení a staveb terminálů kombinované dopravy a pozemky pro související výrobu a skladování.</w:t>
      </w:r>
    </w:p>
    <w:p>
      <w:pPr>
        <w:pStyle w:val="Heading3"/>
      </w:pPr>
      <w:r>
        <w:rPr>
          <w:b/>
          <w:bCs/>
        </w:rPr>
        <w:t xml:space="preserve">§ 10</w:t>
      </w:r>
      <w:r>
        <w:rPr>
          <w:rStyle w:val="hidden"/>
        </w:rPr>
        <w:t xml:space="preserve"> -</w:t>
      </w:r>
      <w:br/>
      <w:r>
        <w:rPr/>
        <w:t xml:space="preserve">Plochy technické infrastruktury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technické infrastruktury se obvykle samostatně vymezují v případech, kdy využití pozemků pro tuto infrastrukturu vylučuje jejich začlenění do ploch jiného způsobu využití a kdy jiné využití těchto pozemků není možné. V ostatních případech se v plochách jiného způsobu využití vymezují pouze trasy vedení technické infrastruktury.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technické infrastruktury zahrnují zejména pozemky vedení, staveb a s nimi provozně související zařízení technického vybavení, například vodovodů, vodojemů, kanalizace, čistíren odpadních vod, staveb a zařízení pro nakládání s odpady, trafostanic, energetických vedení, komunikačních vedení veřejné komunikační sítě, elektronických komunikačních zařízení veřejné komunikační sítě a produktovody. Součástí těchto ploch mohou být i pozemky související dopravní infrastruktury.</w:t>
      </w:r>
    </w:p>
    <w:p>
      <w:pPr>
        <w:pStyle w:val="Heading3"/>
      </w:pPr>
      <w:r>
        <w:rPr>
          <w:b/>
          <w:bCs/>
        </w:rPr>
        <w:t xml:space="preserve">§ 11</w:t>
      </w:r>
      <w:r>
        <w:rPr>
          <w:rStyle w:val="hidden"/>
        </w:rPr>
        <w:t xml:space="preserve"> -</w:t>
      </w:r>
      <w:br/>
      <w:r>
        <w:rPr/>
        <w:t xml:space="preserve">Plochy výroby a skladování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výroby a skladování se obvykle samostatně vymezují v případech, kdy využití pozemků například staveb pro výrobu a skladování a zemědělských staveb</w:t>
      </w:r>
      <w:r>
        <w:rPr>
          <w:vertAlign w:val="superscript"/>
        </w:rPr>
        <w:t xml:space="preserve">2</w:t>
      </w:r>
      <w:r>
        <w:rPr/>
        <w:t xml:space="preserve">) z důvodu negativních vlivů za hranicí těchto pozemků vylučuje začlenění pozemků s těmito vlivy do ploch jiného způsobu využití.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výroby a skladování zahrnují zpravidla pozemky staveb a zařízení pro výrobu a skladování</w:t>
      </w:r>
      <w:r>
        <w:rPr>
          <w:vertAlign w:val="superscript"/>
        </w:rPr>
        <w:t xml:space="preserve">2</w:t>
      </w:r>
      <w:r>
        <w:rPr/>
        <w:t xml:space="preserve">), například pro těžbu, hutnictví, těžké strojírenství, chemii, skladové areály, pozemky zemědělských staveb</w:t>
      </w:r>
      <w:r>
        <w:rPr>
          <w:vertAlign w:val="superscript"/>
        </w:rPr>
        <w:t xml:space="preserve">2</w:t>
      </w:r>
      <w:r>
        <w:rPr/>
        <w:t xml:space="preserve">) a pozemky související veřejné infrastruktury. Plochy výroby a skladování se vymezují v přímé návaznosti na plochy dopravní infrastruktury a musí být z nich přístupné.</w:t>
      </w:r>
    </w:p>
    <w:p>
      <w:pPr>
        <w:pStyle w:val="Heading3"/>
      </w:pPr>
      <w:r>
        <w:rPr>
          <w:b/>
          <w:bCs/>
        </w:rPr>
        <w:t xml:space="preserve">§ 12</w:t>
      </w:r>
      <w:r>
        <w:rPr>
          <w:rStyle w:val="hidden"/>
        </w:rPr>
        <w:t xml:space="preserve"> -</w:t>
      </w:r>
      <w:br/>
      <w:r>
        <w:rPr/>
        <w:t xml:space="preserve">Plochy smíšené výrobní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výrobní se obvykle samostatně vymezují v případech, kdy s ohledem na charakter území není účelné jeho členění například na plochy výroby a skladování, plochy dopravní a technické infrastruktury, plochy těžby nerostů a plochy specifické.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výrobní zahrnují pozemky staveb pro bydlení pouze ve výjimečných a zvlášť odůvodněných případech.</w:t>
      </w:r>
    </w:p>
    <w:p>
      <w:pPr>
        <w:pStyle w:val="Heading3"/>
      </w:pPr>
      <w:r>
        <w:rPr>
          <w:b/>
          <w:bCs/>
        </w:rPr>
        <w:t xml:space="preserve">§ 13</w:t>
      </w:r>
      <w:r>
        <w:rPr>
          <w:rStyle w:val="hidden"/>
        </w:rPr>
        <w:t xml:space="preserve"> -</w:t>
      </w:r>
      <w:br/>
      <w:r>
        <w:rPr/>
        <w:t xml:space="preserve">Plochy vodní a vodohospodářské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vodní a vodohospodářské se vymezují za účelem zajištění podmínek pro nakládání s vodami, ochranu před jejich škodlivými účinky a suchem, regulaci vodního režimu území a plnění dalších účelů stanovených právními předpisy upravujícími problematiku na úseku vod a ochrany přírody a krajiny.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vodní a vodohospodářské zahrnují pozemky vodních ploch, koryt vodních toků </w:t>
      </w:r>
      <w:r>
        <w:rPr>
          <w:vertAlign w:val="superscript"/>
        </w:rPr>
        <w:t xml:space="preserve">6</w:t>
      </w:r>
      <w:r>
        <w:rPr/>
        <w:t xml:space="preserve">)</w:t>
      </w:r>
      <w:r>
        <w:rPr/>
        <w:t xml:space="preserve"> a jiné pozemky určené pro převažující vodohospodářské využití.</w:t>
      </w:r>
    </w:p>
    <w:p>
      <w:pPr>
        <w:pStyle w:val="Heading3"/>
      </w:pPr>
      <w:r>
        <w:rPr>
          <w:b/>
          <w:bCs/>
        </w:rPr>
        <w:t xml:space="preserve">§ 14</w:t>
      </w:r>
      <w:r>
        <w:rPr>
          <w:rStyle w:val="hidden"/>
        </w:rPr>
        <w:t xml:space="preserve"> -</w:t>
      </w:r>
      <w:br/>
      <w:r>
        <w:rPr/>
        <w:t xml:space="preserve">Plochy zemědělské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zemědělské se obvykle samostatně vymezují za účelem zajištění podmínek pro převažující zemědělské využití.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zemědělské zahrnují zejména pozemky zemědělského půdního fondu</w:t>
      </w:r>
      <w:r>
        <w:rPr>
          <w:vertAlign w:val="superscript"/>
        </w:rPr>
        <w:t xml:space="preserve">7</w:t>
      </w:r>
      <w:r>
        <w:rPr/>
        <w:t xml:space="preserve">)</w:t>
      </w:r>
      <w:r>
        <w:rPr/>
        <w:t xml:space="preserve"> , pozemky staveb, zařízení a jiných opatření pro zemědělství 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15</w:t>
      </w:r>
      <w:r>
        <w:rPr>
          <w:rStyle w:val="hidden"/>
        </w:rPr>
        <w:t xml:space="preserve"> -</w:t>
      </w:r>
      <w:br/>
      <w:r>
        <w:rPr/>
        <w:t xml:space="preserve">Plochy lesní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lesní se obvykle samostatně vymezují za účelem zajištění podmínek využití pozemků pro les</w:t>
      </w:r>
      <w:r>
        <w:rPr>
          <w:vertAlign w:val="superscript"/>
        </w:rPr>
        <w:t xml:space="preserve">8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lesní zahrnují zejména pozemky určené k plnění funkcí lesa</w:t>
      </w:r>
      <w:r>
        <w:rPr>
          <w:vertAlign w:val="superscript"/>
        </w:rPr>
        <w:t xml:space="preserve">9</w:t>
      </w:r>
      <w:r>
        <w:rPr/>
        <w:t xml:space="preserve">)</w:t>
      </w:r>
      <w:r>
        <w:rPr/>
        <w:t xml:space="preserve"> , pozemky staveb a zařízení lesního hospodářství 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16</w:t>
      </w:r>
      <w:r>
        <w:rPr>
          <w:rStyle w:val="hidden"/>
        </w:rPr>
        <w:t xml:space="preserve"> -</w:t>
      </w:r>
      <w:br/>
      <w:r>
        <w:rPr/>
        <w:t xml:space="preserve">Plochy přírodní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přírodní se obvykle samostatně vymezují za účelem zajištění podmínek pro ochranu přírody a krajiny</w:t>
      </w:r>
      <w:r>
        <w:rPr>
          <w:vertAlign w:val="superscript"/>
        </w:rPr>
        <w:t xml:space="preserve">10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přírodní zahrnují zpravidla pozemky národního parku, pozemky v 1. a 2. zóně chráněné krajinné oblasti, pozemky v ostatních zvláště chráněných územích, pozemky evropsky významných lokalit včetně pozemků smluvně chráněných, pozemky biocenter</w:t>
      </w:r>
      <w:r>
        <w:rPr>
          <w:vertAlign w:val="superscript"/>
        </w:rPr>
        <w:t xml:space="preserve">11</w:t>
      </w:r>
      <w:r>
        <w:rPr/>
        <w:t xml:space="preserve">)</w:t>
      </w:r>
      <w:r>
        <w:rPr/>
        <w:t xml:space="preserve"> a výjimečně 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17</w:t>
      </w:r>
      <w:r>
        <w:rPr>
          <w:rStyle w:val="hidden"/>
        </w:rPr>
        <w:t xml:space="preserve"> -</w:t>
      </w:r>
      <w:br/>
      <w:r>
        <w:rPr/>
        <w:t xml:space="preserve">Plochy smíšené nezastavěného území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nezastavěného území se obvykle samostatně vymezují v případech, kdy s ohledem na charakter nezastavěného území nebo jeho ochranu není účelné jeho členění, například na plochy vodní a vodohospodářské, zemědělské a lesní.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nezastavěného území zahrnují zpravidla pozemky určené k plnění funkcí lesa, pozemky zemědělského půdního fondu, případně pozemky vodních ploch a koryt vodních toků bez rozlišení převažujícího způsobu využití. Do plochy smíšené nezastavěného území lze zahrnout i pozemky přirozených a přírodě blízkých ekosystémů</w:t>
      </w:r>
      <w:r>
        <w:rPr>
          <w:vertAlign w:val="superscript"/>
        </w:rPr>
        <w:t xml:space="preserve">10</w:t>
      </w:r>
      <w:r>
        <w:rPr/>
        <w:t xml:space="preserve">) 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18</w:t>
      </w:r>
      <w:r>
        <w:rPr>
          <w:rStyle w:val="hidden"/>
        </w:rPr>
        <w:t xml:space="preserve"> -</w:t>
      </w:r>
      <w:br/>
      <w:r>
        <w:rPr/>
        <w:t xml:space="preserve">Plochy těžby nerostů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těžby nerostů se obvykle samostatně vymezují za účelem zajištění podmínek pro hospodárné využívání nerostů a pro ochranu životního prostředí při těžební činnosti a úpravě nerostů.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těžby nerostů zahrnují zpravidla pozemky povrchových dolů, lomů a pískoven, pozemky pro ukládání dočasně nevyužívaných nerostů a odpadů, kterými jsou výsypky, odvaly a kaliště, dále pozemky rekultivací a pozemky staveb a technologických zařízení pro těžbu. Do plochy těžby nerostů lze zahrnout i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19</w:t>
      </w:r>
      <w:r>
        <w:rPr>
          <w:rStyle w:val="hidden"/>
        </w:rPr>
        <w:t xml:space="preserve"> -</w:t>
      </w:r>
      <w:br/>
      <w:r>
        <w:rPr/>
        <w:t xml:space="preserve">Plochy specifické</w:t>
      </w:r>
    </w:p>
    <w:p>
      <w:pPr>
        <w:ind w:left="0" w:right="0"/>
      </w:pPr>
      <w:r>
        <w:rPr/>
        <w:t xml:space="preserve">Plochy specifické se obvykle samostatně vymezují za účelem zajištění zvláštních podmínek, které vyžadují zejména pozemky staveb a zařízení pro obranu a bezpečnost státu, civilní ochranu, vězeňství, sklady nebezpečných látek; do těchto ploch lze zahrnout pozemky související technické a dopravní infrastruktury.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pozemků a umisťování staveb na nich</w:t>
      </w:r>
    </w:p>
    <w:p>
      <w:pPr>
        <w:pStyle w:val="Heading2"/>
      </w:pPr>
      <w:r>
        <w:rPr>
          <w:b/>
          <w:bCs/>
        </w:rPr>
        <w:t xml:space="preserve">Hlava I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a využívání pozemků</w:t>
      </w:r>
    </w:p>
    <w:p>
      <w:pPr>
        <w:pStyle w:val="Heading3"/>
      </w:pPr>
      <w:r>
        <w:rPr>
          <w:b/>
          <w:bCs/>
        </w:rPr>
        <w:t xml:space="preserve">§ 20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 souladu s cíli a úkoly územního plánování a s ohledem na souvislosti a charakter území je obecným požadavkem takové vymezování pozemků, stanovování podmínek jejich využívání a umisťování staveb na nich, které nezhoršuje kvalitu prostředí a hodnotu 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Nevyplývá-li z územního plánu něco jiného, lze vymezovat v zastavěném území pouze pozemky staveb pro bydlení a pro rodinnou rekreaci, pozemky veřejných prostranství, pozemky občanského vybavení souvisejícího a slučitelného s bydlením a nesnižující jeho kvalitu a kvalitu prostředí v zastavěném území a pozemky související dopravní a technické infrastruktury.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Pozemek se vždy vymezuje tak, aby svými vlastnostmi, zejména velikostí, polohou, plošným a prostorovým uspořádáním, umožňoval využití pro navrhovaný účel a byl dopravně napojen na veřejně přístupnou pozemní komunikaci</w:t>
      </w:r>
      <w:r>
        <w:rPr>
          <w:vertAlign w:val="superscript"/>
        </w:rPr>
        <w:t xml:space="preserve">12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Stavební pozemek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1 písm. b) stavebního zákona] se vždy vymezuje tak, aby svými vlastnostmi, zejména velikostí, polohou, plošným a prostorovým uspořádáním a základovými poměry, umožňoval umístění, realizaci a užívání stavby pro navrhovaný účel a aby byl dopravně napojen na kapacitně vyhovující veřejně přístupnou pozemní komunikaci</w:t>
      </w:r>
      <w:r>
        <w:rPr>
          <w:vertAlign w:val="superscript"/>
        </w:rPr>
        <w:t xml:space="preserve">12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Stavební pozemek se vždy vymezuje tak, aby na něm bylo vyřešeno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umístění odstavných a parkovacích stání pro účel využití pozemku a užívání staveb na něm umístěných v rozsahu požadavků příslušné české technické normy pro navrhování místních komunikací, což zaručuje splnění požadavků této vyhlášky,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nakládání s odpady a odpadními vodami podle zvláštních předpisů</w:t>
      </w:r>
      <w:r>
        <w:rPr>
          <w:vertAlign w:val="superscript"/>
        </w:rPr>
        <w:t xml:space="preserve">13</w:t>
      </w:r>
      <w:r>
        <w:rPr/>
        <w:t xml:space="preserve">)</w:t>
      </w:r>
      <w:r>
        <w:rPr/>
        <w:t xml:space="preserve"> , které na pozemku vznikají jeho užíváním nebo užíváním staveb na něm umístěných,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vsakování dešťových vod (</w:t>
      </w:r>
      <w:r>
        <w:rPr/>
        <w:t xml:space="preserve">§ 21</w:t>
      </w:r>
      <w:r>
        <w:rPr/>
        <w:t xml:space="preserve"> odst. 3) nebo jejich zdržení na pozemku v kapacitě 20 mm denního úhrnu srážek před jejich svedením do vodního toku či do kanalizace pro veřejnou potřebu jednotné či oddílné pro samostatný odvod dešťové vody</w:t>
      </w:r>
      <w:r>
        <w:rPr>
          <w:vertAlign w:val="superscript"/>
        </w:rPr>
        <w:t xml:space="preserve">14</w:t>
      </w:r>
      <w:r>
        <w:rPr/>
        <w:t xml:space="preserve">)</w:t>
      </w:r>
      <w:r>
        <w:rPr/>
        <w:t xml:space="preserve"> veřejné dešťové nebo jednotné kanalizace.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Při vymezování stavebního pozemku nebo při změně využití zastavěného stavebního pozemku lze prokázat splnění požadavků odstavce 5 regulačním plánem nebo dokumentací pro vydání územního rozhodnutí i s využitím dalších pozemků.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Ke každé stavbě rodinného domu nebo stavbě pro rodinnou rekreaci nebo souvislé skupině těchto staveb musí vést zpevněná pozemní komunikace</w:t>
      </w:r>
      <w:r>
        <w:rPr>
          <w:vertAlign w:val="superscript"/>
        </w:rPr>
        <w:t xml:space="preserve">3</w:t>
      </w:r>
      <w:r>
        <w:rPr/>
        <w:t xml:space="preserve">) široká nejméně 2,5 m a končící nejdále 50 m od stavby.</w:t>
      </w:r>
    </w:p>
    <w:p>
      <w:pPr>
        <w:pStyle w:val="Heading3"/>
      </w:pPr>
      <w:r>
        <w:rPr>
          <w:b/>
          <w:bCs/>
        </w:rPr>
        <w:t xml:space="preserve">§ 21</w:t>
      </w:r>
      <w:r>
        <w:rPr>
          <w:rStyle w:val="hidden"/>
        </w:rPr>
        <w:t xml:space="preserve"> -</w:t>
      </w:r>
      <w:br/>
      <w:r>
        <w:rPr/>
        <w:t xml:space="preserve">Pozemky staveb pro bydlení a pro rodinnou rekreaci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Odstavná a parkovací stání pozemků staveb pro bydlení nebo rodinnou rekreaci podle </w:t>
      </w:r>
      <w:r>
        <w:rPr/>
        <w:t xml:space="preserve">§ 20</w:t>
      </w:r>
      <w:r>
        <w:rPr/>
        <w:t xml:space="preserve"> odst. 5 a 6 musejí být umístěna ve skutečné docházkové vzdálenosti do 300 m, je-li to technicky možné.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U staveb pro rodinnou rekreaci je nutno umístit odstavné stání v počtu 1 stání pro jednu stavbu.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Vsakování dešťových vod na pozemcích staveb pro bydlení je splněno [</w:t>
      </w:r>
      <w:r>
        <w:rPr/>
        <w:t xml:space="preserve">§ 20</w:t>
      </w:r>
      <w:r>
        <w:rPr/>
        <w:t xml:space="preserve"> odst. 5 písm. c)], jestliže poměr výměry části pozemku schopné vsakování dešťové vody k celkové výměře pozemku činí v případě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samostatně stojícího rodinného domu a stavby pro rodinnou rekreaci nejméně 0,4,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řadového rodinného domu a bytového domu 0,3.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Na pozemcích staveb pro bydlení lze umístit stavbu bytovného nebo rodinného domu a dále stavby, terénní úpravy a zařízení, nezbytné k bezpečnému užívání pozemků, bezprostředně související a podmiňující bydlení.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Na pozemku bytového domu lze dále umístit garáž a stavby a zařízení uvedené v </w:t>
      </w:r>
      <w:hyperlink r:id="rId15" w:history="1">
        <w:r>
          <w:rPr>
            <w:color w:val="darkblue"/>
            <w:u w:val="single"/>
          </w:rPr>
          <w:t xml:space="preserve">§ 103</w:t>
        </w:r>
      </w:hyperlink>
      <w:r>
        <w:rPr/>
        <w:t xml:space="preserve"> odst. 1 písm. a) bodech 1 a 5, písm. d) bodě 5 stavebního zákona.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Na pozemku rodinného domu lze dále umístit garáž a stavby a zařízení uvedené v </w:t>
      </w:r>
      <w:hyperlink r:id="rId15" w:history="1">
        <w:r>
          <w:rPr>
            <w:color w:val="darkblue"/>
            <w:u w:val="single"/>
          </w:rPr>
          <w:t xml:space="preserve">§ 103</w:t>
        </w:r>
      </w:hyperlink>
      <w:r>
        <w:rPr/>
        <w:t xml:space="preserve"> odst. 1 písm. a) bodech 1, 4 a 5, písm. d) bodě 5 stavebního zákona. Dále lze na pozemku rodinného domu umístit jednu stavbu pro podnikatelskou činnost, odpovídající svými parametry </w:t>
      </w:r>
      <w:hyperlink r:id="rId16" w:history="1">
        <w:r>
          <w:rPr>
            <w:color w:val="darkblue"/>
            <w:u w:val="single"/>
          </w:rPr>
          <w:t xml:space="preserve">§ 104</w:t>
        </w:r>
      </w:hyperlink>
      <w:r>
        <w:rPr/>
        <w:t xml:space="preserve"> odst. 2 písm. d) stavebního zákona, není-li z prostorových a provozních důvodů možno zabezpečit uvedené funkce v rodinném domě.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Na pozemku stavby rodinné rekreace lze umístit stavby a zařízení uvedené v </w:t>
      </w:r>
      <w:hyperlink r:id="rId15" w:history="1">
        <w:r>
          <w:rPr>
            <w:color w:val="darkblue"/>
            <w:u w:val="single"/>
          </w:rPr>
          <w:t xml:space="preserve">§ 103</w:t>
        </w:r>
      </w:hyperlink>
      <w:r>
        <w:rPr/>
        <w:t xml:space="preserve"> odst. 1 písm. a) bodech 1, 4 a 5, písm. d) bodě 5 stavebního zákona.</w:t>
      </w:r>
    </w:p>
    <w:p>
      <w:pPr>
        <w:pStyle w:val="Heading3"/>
      </w:pPr>
      <w:r>
        <w:rPr>
          <w:b/>
          <w:bCs/>
        </w:rPr>
        <w:t xml:space="preserve">§ 22</w:t>
      </w:r>
      <w:r>
        <w:rPr>
          <w:rStyle w:val="hidden"/>
        </w:rPr>
        <w:t xml:space="preserve"> -</w:t>
      </w:r>
      <w:br/>
      <w:r>
        <w:rPr/>
        <w:t xml:space="preserve">Pozemky veřejných prostranství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Nejmenší šířka veřejného prostranství, jehož součástí je pozemní komunikace zpřístupňující pozemek bytového domu, je 12 m. Při jednosměrném provozu lze tuto šířku snížit až na 10,5 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Nejmenší šířka veřejného prostranství, jehož součástí je pozemní komunikace zpřístupňující pozemek rodinného domu, je 8 m. Při jednosměrném provozu lze tuto šířku snížit až na 6,5 m.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Součástí veřejného prostranství vymezeného podle odstavců 1 a 2 je nejméně jeden pruh vyhrazený pro pěší v minimální šířce 2 m umožňující bezbariérové užívání.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Pozemky veřejných prostranství určených k užívání osobami uvedenými v 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2 písm. e) stavebního zákona se v zastavitelných plochách vymezují o minimální rozloze 500 m</w:t>
      </w:r>
      <w:r>
        <w:rPr>
          <w:vertAlign w:val="superscript"/>
        </w:rPr>
        <w:t xml:space="preserve">2</w:t>
      </w:r>
      <w:r>
        <w:rPr/>
        <w:t xml:space="preserve"> a minimální šířce 10 m ve vzájemných docházkových vzdálenostech 300 m. V odůvodněných případech se vymezují o minimální rozloze 1 000 m</w:t>
      </w:r>
      <w:r>
        <w:rPr>
          <w:vertAlign w:val="superscript"/>
        </w:rPr>
        <w:t xml:space="preserve">2</w:t>
      </w:r>
      <w:r>
        <w:rPr/>
        <w:t xml:space="preserve"> ve vzájemných docházkových vzdálenostech 600 m. Do této rozlohy se nezapočítává dopravní prostor místní komunikace určený pro odstavování a pohyb motorových vozidel. Tyto pozemky mohou být nahrazeny částmi veřejně přístupných pozemků staveb občanského vybavení v přilehlém území či jinými veřejnými prostranstvími splňujícími tyto parametry.</w:t>
      </w:r>
    </w:p>
    <w:p>
      <w:pPr>
        <w:pStyle w:val="Heading2"/>
      </w:pPr>
      <w:r>
        <w:rPr>
          <w:b/>
          <w:bCs/>
        </w:rPr>
        <w:t xml:space="preserve">Hlava II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umisťování staveb</w:t>
      </w:r>
    </w:p>
    <w:p>
      <w:pPr>
        <w:pStyle w:val="Heading3"/>
      </w:pPr>
      <w:r>
        <w:rPr>
          <w:b/>
          <w:bCs/>
        </w:rPr>
        <w:t xml:space="preserve">§ 23</w:t>
      </w:r>
      <w:r>
        <w:rPr>
          <w:rStyle w:val="hidden"/>
        </w:rPr>
        <w:t xml:space="preserve"> -</w:t>
      </w:r>
      <w:br/>
      <w:r>
        <w:rPr/>
        <w:t xml:space="preserve">Obecné požadavky na umisťování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Stavby podle druhu a potřeby se umisťují tak, aby bylo umožněno jejich napojení na sítě technické infrastruktury</w:t>
      </w:r>
      <w:r>
        <w:rPr>
          <w:vertAlign w:val="superscript"/>
        </w:rPr>
        <w:t xml:space="preserve">2</w:t>
      </w:r>
      <w:r>
        <w:rPr/>
        <w:t xml:space="preserve">) a pozemní komunikace a aby jejich umístění na pozemku umožňovalo mimo ochranná pásma rozvodu energetických vedení přístup požární techniky a provedení jejího zásahu. Připojení staveb na pozemní komunikace musí svými parametry, provedením a způsobem připojení vyhovovat požadavkům bezpečného užívání staveb a bezpečného a plynulého provozu na přilehlých pozemních komunikacích</w:t>
      </w:r>
      <w:r>
        <w:rPr>
          <w:vertAlign w:val="superscript"/>
        </w:rPr>
        <w:t xml:space="preserve">15</w:t>
      </w:r>
      <w:r>
        <w:rPr/>
        <w:t xml:space="preserve">)</w:t>
      </w:r>
      <w:r>
        <w:rPr/>
        <w:t xml:space="preserve"> . Podle druhu a charakteru stavby musí připojení splňovat též požadavky na dopravní obslužnost, parkování a přístup požární techniky.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Stavby se umisťují tak, aby stavba ani její část nepřesahovala na sousední pozemek. Umístěním stavby nebo změnou stavby na hranici pozemků nebo v její bezprostřední blízkosti nesmí být znemožněna zástavba sousedního pozemku.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Nástavba staveb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5 písm. a) stavebního zákona] je nepřípustná tam, kde by mohlo navrhovanými úpravami dojít k narušení dochovaných historických, urbanistických a architektonických hodnot daného místa nebo k narušení architektonické jednoty celku, například souvislé zástavby v ulici.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Změnou stavby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5 stavebního zákona] nesmí být narušeny urbanistické a architektonické hodnoty stávající zástavby.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Mimo stavební pozemek lze umístit jen stavby zařízení staveniště a připojení staveb na sítě technické infrastruktury</w:t>
      </w:r>
      <w:r>
        <w:rPr>
          <w:vertAlign w:val="superscript"/>
        </w:rPr>
        <w:t xml:space="preserve">2</w:t>
      </w:r>
      <w:r>
        <w:rPr/>
        <w:t xml:space="preserve">) a pozemní komunikace.</w:t>
      </w:r>
    </w:p>
    <w:p>
      <w:pPr>
        <w:pStyle w:val="Heading3"/>
      </w:pPr>
      <w:r>
        <w:rPr>
          <w:b/>
          <w:bCs/>
        </w:rPr>
        <w:t xml:space="preserve">§ 24</w:t>
      </w:r>
      <w:r>
        <w:rPr>
          <w:rStyle w:val="hidden"/>
        </w:rPr>
        <w:t xml:space="preserve"> -</w:t>
      </w:r>
      <w:br/>
      <w:r>
        <w:rPr/>
        <w:t xml:space="preserve">Zvláštní požadavky na umisťování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Rozvodná energetická vedení a vedení elektronických komunikací se v zastavěném území obcí umisťují zpravidla pod zem.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U staveb pro shromažďování většího počtu osob</w:t>
      </w:r>
      <w:r>
        <w:rPr>
          <w:vertAlign w:val="superscript"/>
        </w:rPr>
        <w:t xml:space="preserve">2</w:t>
      </w:r>
      <w:r>
        <w:rPr/>
        <w:t xml:space="preserve">), staveb pro obchod</w:t>
      </w:r>
      <w:r>
        <w:rPr>
          <w:vertAlign w:val="superscript"/>
        </w:rPr>
        <w:t xml:space="preserve">2</w:t>
      </w:r>
      <w:r>
        <w:rPr/>
        <w:t xml:space="preserve">), staveb ubytovacích zařízení, staveb pro výrobu a skladování</w:t>
      </w:r>
      <w:r>
        <w:rPr>
          <w:vertAlign w:val="superscript"/>
        </w:rPr>
        <w:t xml:space="preserve">2</w:t>
      </w:r>
      <w:r>
        <w:rPr/>
        <w:t xml:space="preserve">) a zemědělských staveb</w:t>
      </w:r>
      <w:r>
        <w:rPr>
          <w:vertAlign w:val="superscript"/>
        </w:rPr>
        <w:t xml:space="preserve">2</w:t>
      </w:r>
      <w:r>
        <w:rPr/>
        <w:t xml:space="preserve">) se musí zajistit prostor pro příjezd vozidel pro zásobování a prostor pro stání těchto vozidel při nakládání a vykládání.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Garáže, odstavná a parkovací stání, zejména pro nákladní automobily, autobusy, traktory a jiné dopravní prostředky, se umisťují mimo plochy bydlení, rekreace, občanského vybavení, smíšené obytné, kromě staveb garáží, odstavných a parkovacích ploch pro ně určených v uzavřených prostorech zemědělských staveb</w:t>
      </w:r>
      <w:r>
        <w:rPr>
          <w:vertAlign w:val="superscript"/>
        </w:rPr>
        <w:t xml:space="preserve">2</w:t>
      </w:r>
      <w:r>
        <w:rPr/>
        <w:t xml:space="preserve">) a kromě odstavných a parkovacích stání pro speciální automobily policejní, požární techniky, lékařské pomoci, automobily obytné a obytné přívěsy, pokud tomu nebrání omezení vyplývající ze zvláštních předpisů</w:t>
      </w:r>
      <w:r>
        <w:rPr>
          <w:vertAlign w:val="superscript"/>
        </w:rPr>
        <w:t xml:space="preserve">16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Servisy, opravny a čerpací stanice pohonných hmot včetně zařízení pro manipulaci s nimi, zejména překladiště, stáčírny, mycí rampy, odpařovací stanice, další stavby, zejména dílny, sklady, nádrže topných olejů, sběrny, skládky, ve kterých dochází k manipulaci s látkami, které mohou ohrozit povrchové nebo podzemní vody, například jedovaté a žíravé látky, radioaktivní látky, se nesmí umisťovat v ochranných pásmech I. a II. stupně vodních zdrojů sloužících pro zásobování pitnou vodou</w:t>
      </w:r>
      <w:r>
        <w:rPr>
          <w:vertAlign w:val="superscript"/>
        </w:rPr>
        <w:t xml:space="preserve">17</w:t>
      </w:r>
      <w:r>
        <w:rPr/>
        <w:t xml:space="preserve">)</w:t>
      </w:r>
      <w:r>
        <w:rPr/>
        <w:t xml:space="preserve"> , v ochranných pásmech prvního stupně nebo v užším prozatímním ochranném pásmu přírodních léčivých zdrojů anebo zdrojů přírodních minerálních vod stolních</w:t>
      </w:r>
      <w:r>
        <w:rPr>
          <w:vertAlign w:val="superscript"/>
        </w:rPr>
        <w:t xml:space="preserve">16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Čerpací stanice pohonných hmot</w:t>
      </w:r>
      <w:r>
        <w:rPr>
          <w:vertAlign w:val="superscript"/>
        </w:rPr>
        <w:t xml:space="preserve">18</w:t>
      </w:r>
      <w:r>
        <w:rPr/>
        <w:t xml:space="preserve">)</w:t>
      </w:r>
      <w:r>
        <w:rPr/>
        <w:t xml:space="preserve"> se umisťují mimo plochy bydlení, rekreace a veřejných prostranství.</w:t>
      </w:r>
    </w:p>
    <w:p>
      <w:pPr>
        <w:pStyle w:val="Heading3"/>
      </w:pPr>
      <w:r>
        <w:rPr>
          <w:b/>
          <w:bCs/>
        </w:rPr>
        <w:t xml:space="preserve">§ 25</w:t>
      </w:r>
      <w:r>
        <w:rPr>
          <w:rStyle w:val="hidden"/>
        </w:rPr>
        <w:t xml:space="preserve"> -</w:t>
      </w:r>
      <w:br/>
      <w:r>
        <w:rPr/>
        <w:t xml:space="preserve">Vzájemné odstupy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Vzájemné odstupy staveb musí splňovat požadavky urbanistické, architektonické, životního prostředí, hygienické, veterinární, ochrany povrchových a podzemních vod, státní památkové péče, požární ochrany, bezpečnosti, civilní ochrany, prevence závažných havárií</w:t>
      </w:r>
      <w:r>
        <w:rPr>
          <w:vertAlign w:val="superscript"/>
        </w:rPr>
        <w:t xml:space="preserve">19</w:t>
      </w:r>
      <w:r>
        <w:rPr/>
        <w:t xml:space="preserve">)</w:t>
      </w:r>
      <w:r>
        <w:rPr/>
        <w:t xml:space="preserve"> , požadavky na denní osvětlení a oslunění a na zachování kvality prostředí. Odstupy musí dále umožňovat údržbu staveb a užívání prostoru mezi stavbami pro technická či jiná vybavení a činnosti, například technickou infrastrukturu.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Je-li mezi rodinnými domy volný prostor, vzdálenost mezi nimi nesmí být menší než 7 m a jejich vzdálenost od společných hranic pozemků nesmí být menší než 2 m. Ve zvlášť stísněných územních podmínkách může být vzdálenost mezi rodinnými domy snížena až na 4 m, pokud v žádné z protilehlých stěn nejsou okna obytných místností; v takovém případě se odstavec 4 nepoužije.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Vytvářejí-li stavby pro rodinnou rekreaci mezi sebou volný prostor, vzdálenost mezi nimi nesmí být menší než 10 m.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Vzdálenost stavby samostatné garáže, stavby uvedené v </w:t>
      </w:r>
      <w:hyperlink r:id="rId15" w:history="1">
        <w:r>
          <w:rPr>
            <w:color w:val="darkblue"/>
            <w:u w:val="single"/>
          </w:rPr>
          <w:t xml:space="preserve">§ 103</w:t>
        </w:r>
      </w:hyperlink>
      <w:r>
        <w:rPr/>
        <w:t xml:space="preserve"> odst. 1 písm. a) bodě 1 stavebního zákona a stavby pro podnikatelskou činnost odpovídající svými parametry </w:t>
      </w:r>
      <w:hyperlink r:id="rId16" w:history="1">
        <w:r>
          <w:rPr>
            <w:color w:val="darkblue"/>
            <w:u w:val="single"/>
          </w:rPr>
          <w:t xml:space="preserve">§ 104</w:t>
        </w:r>
      </w:hyperlink>
      <w:r>
        <w:rPr/>
        <w:t xml:space="preserve"> odst. 2 písm. d) stavebního zákona, umístěné na pozemku rodinného domu, od společných hranic pozemků rodinných domů nesmí být menší než 2 m.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Z důvodu zachování stávajících hodnot zástavby a v souladu s nimi je možno umístit až na hranici pozemku rodinný dům, garáž a další stavby a zařízení související s užíváním rodinného domu. V takovém případě nesmí být ve stěně na hranici pozemku žádné stavební otvory, zejména okna, větrací otvory; musí být zamezeno stékání dešťových vod nebo spadu sněhu ze stavby na sousední pozemek; stavba, její část nesmí přesahovat na sousední pozemek.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Vnější hrany pochozí plochy rodinného domu, jako jsou terasa nebo balkon, která je nad přilehlým terénem výše než 2 m, musí být nejméně 3 m od hranice sousedního pozemku.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Vzdálenost průčelí budov</w:t>
      </w:r>
      <w:r>
        <w:rPr>
          <w:vertAlign w:val="superscript"/>
        </w:rPr>
        <w:t xml:space="preserve">2</w:t>
      </w:r>
      <w:r>
        <w:rPr/>
        <w:t xml:space="preserve">), v nichž jsou okna obytných místností, musí být nejméně 3 m od okraje vozovky silnice nebo místní komunikace; tento požadavek se neuplatní u budov umisťovaných ve stavebních prolukách řadové zástavby a u budov, jejichž umístění stanoví vydaná územně plánovací dokumentace.</w:t>
      </w:r>
    </w:p>
    <w:p>
      <w:pPr>
        <w:ind w:left="0" w:right="0"/>
      </w:pPr>
      <w:r>
        <w:rPr>
          <w:b/>
          <w:bCs/>
        </w:rPr>
        <w:t xml:space="preserve">(8)</w:t>
      </w:r>
      <w:r>
        <w:rPr/>
        <w:t xml:space="preserve"> Vzájemné odstupy a vzdálenosti se měří na nejkratší spojnici mezi vnějšími povrchy obvodových stěn, balkonů, lodžií, teras, dále od hranic pozemků a okraje vozovky pozemní komunikace.</w:t>
      </w:r>
    </w:p>
    <w:p>
      <w:pPr>
        <w:pStyle w:val="Heading1"/>
      </w:pPr>
      <w:r>
        <w:rPr>
          <w:b/>
          <w:bCs/>
          <w:caps/>
        </w:rPr>
        <w:t xml:space="preserve">Část čtvrtá</w:t>
      </w:r>
      <w:r>
        <w:rPr>
          <w:rStyle w:val="hidden"/>
        </w:rPr>
        <w:t xml:space="preserve"> -</w:t>
      </w:r>
      <w:br/>
      <w:r>
        <w:rPr>
          <w:caps/>
        </w:rPr>
        <w:t xml:space="preserve">Společná a závěrečná ustanovení</w:t>
      </w:r>
    </w:p>
    <w:p>
      <w:pPr>
        <w:pStyle w:val="Heading2"/>
      </w:pPr>
      <w:r>
        <w:rPr>
          <w:b/>
          <w:bCs/>
        </w:rPr>
        <w:t xml:space="preserve">§ 26</w:t>
      </w:r>
      <w:r>
        <w:rPr>
          <w:rStyle w:val="hidden"/>
        </w:rPr>
        <w:t xml:space="preserve"> -</w:t>
      </w:r>
      <w:br/>
      <w:r>
        <w:rPr/>
        <w:t xml:space="preserve">Výjimky</w:t>
      </w:r>
    </w:p>
    <w:p>
      <w:pPr>
        <w:ind w:left="0" w:right="0"/>
      </w:pPr>
      <w:r>
        <w:rPr/>
        <w:t xml:space="preserve">Za podmínek stanovených v </w:t>
      </w:r>
      <w:hyperlink r:id="rId17" w:history="1">
        <w:r>
          <w:rPr>
            <w:color w:val="darkblue"/>
            <w:u w:val="single"/>
          </w:rPr>
          <w:t xml:space="preserve">§ 169</w:t>
        </w:r>
      </w:hyperlink>
      <w:r>
        <w:rPr/>
        <w:t xml:space="preserve"> stavebního zákona je možná výjimka z ustanovení </w:t>
      </w:r>
      <w:r>
        <w:rPr/>
        <w:t xml:space="preserve">§ 20</w:t>
      </w:r>
      <w:r>
        <w:rPr/>
        <w:t xml:space="preserve"> odst. 3 a 7, </w:t>
      </w:r>
      <w:r>
        <w:rPr/>
        <w:t xml:space="preserve">§ 21</w:t>
      </w:r>
      <w:r>
        <w:rPr/>
        <w:t xml:space="preserve"> odst. 5, 6 a 7, </w:t>
      </w:r>
      <w:r>
        <w:rPr/>
        <w:t xml:space="preserve">§ 25</w:t>
      </w:r>
      <w:r>
        <w:rPr/>
        <w:t xml:space="preserve"> odst. 2, 3, 4, 5 a 7.</w:t>
      </w:r>
    </w:p>
    <w:p>
      <w:pPr>
        <w:pStyle w:val="Heading1"/>
      </w:pPr>
      <w:r>
        <w:rPr>
          <w:b/>
          <w:bCs/>
          <w:caps/>
        </w:rPr>
        <w:t xml:space="preserve">Část pátá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§ 27</w:t>
      </w:r>
    </w:p>
    <w:p>
      <w:pPr>
        <w:ind w:left="0" w:right="0"/>
      </w:pPr>
      <w:r>
        <w:rPr/>
        <w:t xml:space="preserve">Tato vyhláška nabývá účinnosti dnem 1. ledna 2007.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Gandalovič</w:t>
      </w:r>
      <w:r>
        <w:rPr/>
        <w:t xml:space="preserve"> v. r.</w:t>
      </w:r>
    </w:p>
    <w:p>
      <w:pPr>
        <w:spacing w:after="200"/>
      </w:pPr>
      <w:pPr>
        <w:rPr/>
      </w:pPr>
    </w:p>
    <w:p>
      <w:pPr/>
      <w:r>
        <w:pict>
          <v:shape id="_x0000_s1151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hyperlink r:id="rId18" w:history="1">
        <w:r>
          <w:rPr>
            <w:color w:val="darkblue"/>
            <w:u w:val="single"/>
          </w:rPr>
          <w:t xml:space="preserve">§ 34</w:t>
        </w:r>
      </w:hyperlink>
      <w:r>
        <w:rPr>
          <w:sz w:val="19.200000000000003"/>
          <w:szCs w:val="19.200000000000003"/>
        </w:rPr>
        <w:t xml:space="preserve"> zákona č. </w:t>
      </w:r>
      <w:hyperlink r:id="rId19" w:history="1">
        <w:r>
          <w:rPr>
            <w:color w:val="darkblue"/>
            <w:u w:val="single"/>
          </w:rPr>
          <w:t xml:space="preserve">128/2000 Sb.</w:t>
        </w:r>
      </w:hyperlink>
      <w:r>
        <w:rPr>
          <w:sz w:val="19.200000000000003"/>
          <w:szCs w:val="19.200000000000003"/>
        </w:rPr>
        <w:t xml:space="preserve">, o obcích (obecní zřízení),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hyperlink r:id="rId20" w:history="1">
        <w:r>
          <w:rPr>
            <w:color w:val="darkblue"/>
            <w:u w:val="single"/>
          </w:rPr>
          <w:t xml:space="preserve">§ 3</w:t>
        </w:r>
      </w:hyperlink>
      <w:r>
        <w:rPr>
          <w:sz w:val="19.200000000000003"/>
          <w:szCs w:val="19.200000000000003"/>
        </w:rPr>
        <w:t xml:space="preserve"> vyhlášky č. </w:t>
      </w:r>
      <w:hyperlink r:id="rId21" w:history="1">
        <w:r>
          <w:rPr>
            <w:color w:val="darkblue"/>
            <w:u w:val="single"/>
          </w:rPr>
          <w:t xml:space="preserve">137/1998 Sb.</w:t>
        </w:r>
      </w:hyperlink>
      <w:r>
        <w:rPr>
          <w:sz w:val="19.200000000000003"/>
          <w:szCs w:val="19.200000000000003"/>
        </w:rPr>
        <w:t xml:space="preserve">, o obecných technických požadavcích na výstavbu.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3)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2" w:history="1">
        <w:r>
          <w:rPr>
            <w:color w:val="darkblue"/>
            <w:u w:val="single"/>
          </w:rPr>
          <w:t xml:space="preserve">13/1997 Sb.</w:t>
        </w:r>
      </w:hyperlink>
      <w:r>
        <w:rPr>
          <w:sz w:val="19.200000000000003"/>
          <w:szCs w:val="19.200000000000003"/>
        </w:rPr>
        <w:t xml:space="preserve">, o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4)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3" w:history="1">
        <w:r>
          <w:rPr>
            <w:color w:val="darkblue"/>
            <w:u w:val="single"/>
          </w:rPr>
          <w:t xml:space="preserve">266/1994 Sb.</w:t>
        </w:r>
      </w:hyperlink>
      <w:r>
        <w:rPr>
          <w:sz w:val="19.200000000000003"/>
          <w:szCs w:val="19.200000000000003"/>
        </w:rPr>
        <w:t xml:space="preserve">, o dráhách,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4" w:history="1">
        <w:r>
          <w:rPr>
            <w:color w:val="darkblue"/>
            <w:u w:val="single"/>
          </w:rPr>
          <w:t xml:space="preserve">49/1997 Sb.</w:t>
        </w:r>
      </w:hyperlink>
      <w:r>
        <w:rPr>
          <w:sz w:val="19.200000000000003"/>
          <w:szCs w:val="19.200000000000003"/>
        </w:rPr>
        <w:t xml:space="preserve">, o civilním letectví a o změně a doplnění zákona č. </w:t>
      </w:r>
      <w:hyperlink r:id="rId25" w:history="1">
        <w:r>
          <w:rPr>
            <w:color w:val="darkblue"/>
            <w:u w:val="single"/>
          </w:rPr>
          <w:t xml:space="preserve">455/1991 Sb.</w:t>
        </w:r>
      </w:hyperlink>
      <w:r>
        <w:rPr>
          <w:sz w:val="19.200000000000003"/>
          <w:szCs w:val="19.200000000000003"/>
        </w:rPr>
        <w:t xml:space="preserve">, o živnostenském podnikání (živnostenský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6)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6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o vodách a o změně některých zákonů (vodní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7)</w:t>
      </w:r>
      <w:r>
        <w:rPr/>
        <w:t xml:space="preserve">	</w:t>
      </w:r>
      <w:hyperlink r:id="rId27" w:history="1">
        <w:r>
          <w:rPr>
            <w:color w:val="darkblue"/>
            <w:u w:val="single"/>
          </w:rPr>
          <w:t xml:space="preserve">§ 1</w:t>
        </w:r>
      </w:hyperlink>
      <w:r>
        <w:rPr>
          <w:sz w:val="19.200000000000003"/>
          <w:szCs w:val="19.200000000000003"/>
        </w:rPr>
        <w:t xml:space="preserve"> zákona č. </w:t>
      </w:r>
      <w:hyperlink r:id="rId28" w:history="1">
        <w:r>
          <w:rPr>
            <w:color w:val="darkblue"/>
            <w:u w:val="single"/>
          </w:rPr>
          <w:t xml:space="preserve">334/1992 Sb.</w:t>
        </w:r>
      </w:hyperlink>
      <w:r>
        <w:rPr>
          <w:sz w:val="19.200000000000003"/>
          <w:szCs w:val="19.200000000000003"/>
        </w:rPr>
        <w:t xml:space="preserve">, o ochraně zemědělského půdního fondu,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8)</w:t>
      </w:r>
      <w:r>
        <w:rPr/>
        <w:t xml:space="preserve">	</w:t>
      </w:r>
      <w:hyperlink r:id="rId29" w:history="1">
        <w:r>
          <w:rPr>
            <w:color w:val="darkblue"/>
            <w:u w:val="single"/>
          </w:rPr>
          <w:t xml:space="preserve">§ 2</w:t>
        </w:r>
      </w:hyperlink>
      <w:r>
        <w:rPr>
          <w:sz w:val="19.200000000000003"/>
          <w:szCs w:val="19.200000000000003"/>
        </w:rPr>
        <w:t xml:space="preserve"> zákona č. </w:t>
      </w:r>
      <w:hyperlink r:id="rId30" w:history="1">
        <w:r>
          <w:rPr>
            <w:color w:val="darkblue"/>
            <w:u w:val="single"/>
          </w:rPr>
          <w:t xml:space="preserve">289/1995 Sb.</w:t>
        </w:r>
      </w:hyperlink>
      <w:r>
        <w:rPr>
          <w:sz w:val="19.200000000000003"/>
          <w:szCs w:val="19.200000000000003"/>
        </w:rPr>
        <w:t xml:space="preserve">, o lesích a o změně a doplnění některých zákonů (lesní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9)</w:t>
      </w:r>
      <w:r>
        <w:rPr/>
        <w:t xml:space="preserve">	</w:t>
      </w:r>
      <w:hyperlink r:id="rId31" w:history="1">
        <w:r>
          <w:rPr>
            <w:color w:val="darkblue"/>
            <w:u w:val="single"/>
          </w:rPr>
          <w:t xml:space="preserve">§ 3</w:t>
        </w:r>
      </w:hyperlink>
      <w:r>
        <w:rPr>
          <w:sz w:val="19.200000000000003"/>
          <w:szCs w:val="19.200000000000003"/>
        </w:rPr>
        <w:t xml:space="preserve"> zákona č. </w:t>
      </w:r>
      <w:hyperlink r:id="rId30" w:history="1">
        <w:r>
          <w:rPr>
            <w:color w:val="darkblue"/>
            <w:u w:val="single"/>
          </w:rPr>
          <w:t xml:space="preserve">289/1995 Sb.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10)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2" w:history="1">
        <w:r>
          <w:rPr>
            <w:color w:val="darkblue"/>
            <w:u w:val="single"/>
          </w:rPr>
          <w:t xml:space="preserve">114/1992 Sb.</w:t>
        </w:r>
      </w:hyperlink>
      <w:r>
        <w:rPr>
          <w:sz w:val="19.200000000000003"/>
          <w:szCs w:val="19.200000000000003"/>
        </w:rPr>
        <w:t xml:space="preserve">, o ochraně přírody a krajiny,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11)</w:t>
      </w:r>
      <w:r>
        <w:rPr/>
        <w:t xml:space="preserve">	</w:t>
      </w:r>
      <w:hyperlink r:id="rId33" w:history="1">
        <w:r>
          <w:rPr>
            <w:color w:val="darkblue"/>
            <w:u w:val="single"/>
          </w:rPr>
          <w:t xml:space="preserve">§ 1</w:t>
        </w:r>
      </w:hyperlink>
      <w:r>
        <w:rPr>
          <w:sz w:val="19.200000000000003"/>
          <w:szCs w:val="19.200000000000003"/>
        </w:rPr>
        <w:t xml:space="preserve"> vyhlášky č. </w:t>
      </w:r>
      <w:hyperlink r:id="rId34" w:history="1">
        <w:r>
          <w:rPr>
            <w:color w:val="darkblue"/>
            <w:u w:val="single"/>
          </w:rPr>
          <w:t xml:space="preserve">395/1992 Sb.</w:t>
        </w:r>
      </w:hyperlink>
      <w:r>
        <w:rPr>
          <w:sz w:val="19.200000000000003"/>
          <w:szCs w:val="19.200000000000003"/>
        </w:rPr>
        <w:t xml:space="preserve">, kterou se provádějí některá ustanovení zákona č. </w:t>
      </w:r>
      <w:hyperlink r:id="rId32" w:history="1">
        <w:r>
          <w:rPr>
            <w:color w:val="darkblue"/>
            <w:u w:val="single"/>
          </w:rPr>
          <w:t xml:space="preserve">114/1992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12)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2" w:history="1">
        <w:r>
          <w:rPr>
            <w:color w:val="darkblue"/>
            <w:u w:val="single"/>
          </w:rPr>
          <w:t xml:space="preserve">13/1997 Sb.</w:t>
        </w:r>
      </w:hyperlink>
    </w:p>
    <w:p>
      <w:pPr>
        <w:ind w:left="560" w:right="0"/>
      </w:pPr>
      <w:r>
        <w:rPr>
          <w:sz w:val="19.200000000000003"/>
          <w:szCs w:val="19.200000000000003"/>
        </w:rPr>
        <w:t xml:space="preserve">Vyhláška č. </w:t>
      </w:r>
      <w:hyperlink r:id="rId35" w:history="1">
        <w:r>
          <w:rPr>
            <w:color w:val="darkblue"/>
            <w:u w:val="single"/>
          </w:rPr>
          <w:t xml:space="preserve">104/1997 Sb.</w:t>
        </w:r>
      </w:hyperlink>
      <w:r>
        <w:rPr>
          <w:sz w:val="19.200000000000003"/>
          <w:szCs w:val="19.200000000000003"/>
        </w:rPr>
        <w:t xml:space="preserve">, kterou se provádí zákon o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13)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6" w:history="1">
        <w:r>
          <w:rPr>
            <w:color w:val="darkblue"/>
            <w:u w:val="single"/>
          </w:rPr>
          <w:t xml:space="preserve">185/2001 Sb.</w:t>
        </w:r>
      </w:hyperlink>
      <w:r>
        <w:rPr>
          <w:sz w:val="19.200000000000003"/>
          <w:szCs w:val="19.200000000000003"/>
        </w:rPr>
        <w:t xml:space="preserve">, o odpadech a o změně některých dalších zákonů,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26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14)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7" w:history="1">
        <w:r>
          <w:rPr>
            <w:color w:val="darkblue"/>
            <w:u w:val="single"/>
          </w:rPr>
          <w:t xml:space="preserve">274/2001 Sb.</w:t>
        </w:r>
      </w:hyperlink>
      <w:r>
        <w:rPr>
          <w:sz w:val="19.200000000000003"/>
          <w:szCs w:val="19.200000000000003"/>
        </w:rPr>
        <w:t xml:space="preserve">, o vodovodech a kanalizacích pro veřejnou potřebu a o změně některých zákonů (zákon o vodovodech a kanalizacích),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8" w:history="1">
        <w:r>
          <w:rPr>
            <w:color w:val="darkblue"/>
            <w:u w:val="single"/>
          </w:rPr>
          <w:t xml:space="preserve">12/1997 Sb.</w:t>
        </w:r>
      </w:hyperlink>
      <w:r>
        <w:rPr>
          <w:sz w:val="19.200000000000003"/>
          <w:szCs w:val="19.200000000000003"/>
        </w:rPr>
        <w:t xml:space="preserve">, o bezpečnosti a plynulosti provozu na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16)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 </w:t>
      </w:r>
      <w:hyperlink r:id="rId39" w:history="1">
        <w:r>
          <w:rPr>
            <w:color w:val="darkblue"/>
            <w:u w:val="single"/>
          </w:rPr>
          <w:t xml:space="preserve">423/2001 Sb.</w:t>
        </w:r>
      </w:hyperlink>
      <w:r>
        <w:rPr>
          <w:sz w:val="19.200000000000003"/>
          <w:szCs w:val="19.200000000000003"/>
        </w:rPr>
        <w:t xml:space="preserve">, kterou se stanoví způsob a rozsah hodnocení přírodních léčivých zdrojů a zdrojů přírodních minerálních vod a další podrobnosti jejich využívání, požadavky na životní prostředí a vybavení přírodních léčebných lázní a náležitosti odborného posudku o využitelnosti přírodních léčivých zdrojů a klimatických podmínek k léčebným účelům, přírodní minerální vody k výrobě přírodních minerálních vod a o stavu životního prostředí přírodních léčebných lázní (vyhláška o zdrojích a lázních).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17)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6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32" w:history="1">
        <w:r>
          <w:rPr>
            <w:color w:val="darkblue"/>
            <w:u w:val="single"/>
          </w:rPr>
          <w:t xml:space="preserve">114/1992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40" w:history="1">
        <w:r>
          <w:rPr>
            <w:color w:val="darkblue"/>
            <w:u w:val="single"/>
          </w:rPr>
          <w:t xml:space="preserve">311/2006 Sb.</w:t>
        </w:r>
      </w:hyperlink>
      <w:r>
        <w:rPr>
          <w:sz w:val="19.200000000000003"/>
          <w:szCs w:val="19.200000000000003"/>
        </w:rPr>
        <w:t xml:space="preserve">, o pohonných hmotách.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19)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41" w:history="1">
        <w:r>
          <w:rPr>
            <w:color w:val="darkblue"/>
            <w:u w:val="single"/>
          </w:rPr>
          <w:t xml:space="preserve">59/2006 Sb.</w:t>
        </w:r>
      </w:hyperlink>
      <w:r>
        <w:rPr>
          <w:sz w:val="19.200000000000003"/>
          <w:szCs w:val="19.200000000000003"/>
        </w:rPr>
        <w:t xml:space="preserve">, o prevenci závažných havárií způsobených nebezpečnými chemickými látkami nebo chemickými přípravky.</w:t>
      </w:r>
    </w:p>
    <w:sectPr>
      <w:headerReference w:type="default" r:id="rId42"/>
      <w:footerReference w:type="default" r:id="rId4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501/2006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6s183#C06_P193" TargetMode="External"/><Relationship Id="rId8" Type="http://schemas.openxmlformats.org/officeDocument/2006/relationships/hyperlink" Target="https://esipa.cz/sbirka/sbsrv.dll/sb?DR=SB&amp;CP=2006s183#C06_P194" TargetMode="External"/><Relationship Id="rId9" Type="http://schemas.openxmlformats.org/officeDocument/2006/relationships/hyperlink" Target="https://esipa.cz/sbirka/sbsrv.dll/sb?DR=SB&amp;CP=2006s183" TargetMode="External"/><Relationship Id="rId10" Type="http://schemas.openxmlformats.org/officeDocument/2006/relationships/hyperlink" Target="https://esipa.cz/sbirka/sbsrv.dll/sb?DR=SB&amp;CP=2006s183#C03_H01_P018" TargetMode="External"/><Relationship Id="rId11" Type="http://schemas.openxmlformats.org/officeDocument/2006/relationships/hyperlink" Target="https://esipa.cz/sbirka/sbsrv.dll/sb?DR=SB&amp;CP=2006s183#C03_H03_D003_OD001_P036" TargetMode="External"/><Relationship Id="rId12" Type="http://schemas.openxmlformats.org/officeDocument/2006/relationships/hyperlink" Target="https://esipa.cz/sbirka/sbsrv.dll/sb?DR=SB&amp;CP=2006s183#C03_H03_D003_OD002_P043" TargetMode="External"/><Relationship Id="rId13" Type="http://schemas.openxmlformats.org/officeDocument/2006/relationships/hyperlink" Target="https://esipa.cz/sbirka/sbsrv.dll/sb?DR=SB&amp;CP=2006s183#C03_H01_P019" TargetMode="External"/><Relationship Id="rId14" Type="http://schemas.openxmlformats.org/officeDocument/2006/relationships/hyperlink" Target="https://esipa.cz/sbirka/sbsrv.dll/sb?DR=SB&amp;CP=2006s183#C01_P002" TargetMode="External"/><Relationship Id="rId15" Type="http://schemas.openxmlformats.org/officeDocument/2006/relationships/hyperlink" Target="https://esipa.cz/sbirka/sbsrv.dll/sb?DR=SB&amp;CP=2006s183#C04_H01_D001_P103" TargetMode="External"/><Relationship Id="rId16" Type="http://schemas.openxmlformats.org/officeDocument/2006/relationships/hyperlink" Target="https://esipa.cz/sbirka/sbsrv.dll/sb?DR=SB&amp;CP=2006s183#C04_H01_D001_P104" TargetMode="External"/><Relationship Id="rId17" Type="http://schemas.openxmlformats.org/officeDocument/2006/relationships/hyperlink" Target="https://esipa.cz/sbirka/sbsrv.dll/sb?DR=SB&amp;CP=2006s183#C05_H03_P169" TargetMode="External"/><Relationship Id="rId18" Type="http://schemas.openxmlformats.org/officeDocument/2006/relationships/hyperlink" Target="https://esipa.cz/sbirka/sbsrv.dll/sb?DR=SB&amp;CP=2000s128#C01_H01_D004_P034" TargetMode="External"/><Relationship Id="rId19" Type="http://schemas.openxmlformats.org/officeDocument/2006/relationships/hyperlink" Target="https://esipa.cz/sbirka/sbsrv.dll/sb?DR=SB&amp;CP=2000s128" TargetMode="External"/><Relationship Id="rId20" Type="http://schemas.openxmlformats.org/officeDocument/2006/relationships/hyperlink" Target="https://esipa.cz/sbirka/sbsrv.dll/sb?DR=SB&amp;CP=1998s137#C00_P003" TargetMode="External"/><Relationship Id="rId21" Type="http://schemas.openxmlformats.org/officeDocument/2006/relationships/hyperlink" Target="https://esipa.cz/sbirka/sbsrv.dll/sb?DR=SB&amp;CP=1998s137" TargetMode="External"/><Relationship Id="rId22" Type="http://schemas.openxmlformats.org/officeDocument/2006/relationships/hyperlink" Target="https://esipa.cz/sbirka/sbsrv.dll/sb?DR=SB&amp;CP=1997s013" TargetMode="External"/><Relationship Id="rId23" Type="http://schemas.openxmlformats.org/officeDocument/2006/relationships/hyperlink" Target="https://esipa.cz/sbirka/sbsrv.dll/sb?DR=SB&amp;CP=1994s266" TargetMode="External"/><Relationship Id="rId24" Type="http://schemas.openxmlformats.org/officeDocument/2006/relationships/hyperlink" Target="https://esipa.cz/sbirka/sbsrv.dll/sb?DR=SB&amp;CP=1997s049" TargetMode="External"/><Relationship Id="rId25" Type="http://schemas.openxmlformats.org/officeDocument/2006/relationships/hyperlink" Target="https://esipa.cz/sbirka/sbsrv.dll/sb?DR=SB&amp;CP=1991s455" TargetMode="External"/><Relationship Id="rId26" Type="http://schemas.openxmlformats.org/officeDocument/2006/relationships/hyperlink" Target="https://esipa.cz/sbirka/sbsrv.dll/sb?DR=SB&amp;CP=2001s254" TargetMode="External"/><Relationship Id="rId27" Type="http://schemas.openxmlformats.org/officeDocument/2006/relationships/hyperlink" Target="https://esipa.cz/sbirka/sbsrv.dll/sb?DR=SB&amp;CP=1992s334#C01_P001" TargetMode="External"/><Relationship Id="rId28" Type="http://schemas.openxmlformats.org/officeDocument/2006/relationships/hyperlink" Target="https://esipa.cz/sbirka/sbsrv.dll/sb?DR=SB&amp;CP=1992s334" TargetMode="External"/><Relationship Id="rId29" Type="http://schemas.openxmlformats.org/officeDocument/2006/relationships/hyperlink" Target="https://esipa.cz/sbirka/sbsrv.dll/sb?DR=SB&amp;CP=1995s289#C01_H01_OD01_P002" TargetMode="External"/><Relationship Id="rId30" Type="http://schemas.openxmlformats.org/officeDocument/2006/relationships/hyperlink" Target="https://esipa.cz/sbirka/sbsrv.dll/sb?DR=SB&amp;CP=1995s289" TargetMode="External"/><Relationship Id="rId31" Type="http://schemas.openxmlformats.org/officeDocument/2006/relationships/hyperlink" Target="https://esipa.cz/sbirka/sbsrv.dll/sb?DR=SB&amp;CP=1995s289#C01_H01_OD01_P003" TargetMode="External"/><Relationship Id="rId32" Type="http://schemas.openxmlformats.org/officeDocument/2006/relationships/hyperlink" Target="https://esipa.cz/sbirka/sbsrv.dll/sb?DR=SB&amp;CP=1992s114" TargetMode="External"/><Relationship Id="rId33" Type="http://schemas.openxmlformats.org/officeDocument/2006/relationships/hyperlink" Target="https://esipa.cz/sbirka/sbsrv.dll/sb?DR=SB&amp;CP=1992s395#P001" TargetMode="External"/><Relationship Id="rId34" Type="http://schemas.openxmlformats.org/officeDocument/2006/relationships/hyperlink" Target="https://esipa.cz/sbirka/sbsrv.dll/sb?DR=SB&amp;CP=1992s395" TargetMode="External"/><Relationship Id="rId35" Type="http://schemas.openxmlformats.org/officeDocument/2006/relationships/hyperlink" Target="https://esipa.cz/sbirka/sbsrv.dll/sb?DR=SB&amp;CP=1997s104" TargetMode="External"/><Relationship Id="rId36" Type="http://schemas.openxmlformats.org/officeDocument/2006/relationships/hyperlink" Target="https://esipa.cz/sbirka/sbsrv.dll/sb?DR=SB&amp;CP=2001s185" TargetMode="External"/><Relationship Id="rId37" Type="http://schemas.openxmlformats.org/officeDocument/2006/relationships/hyperlink" Target="https://esipa.cz/sbirka/sbsrv.dll/sb?DR=SB&amp;CP=2001s274" TargetMode="External"/><Relationship Id="rId38" Type="http://schemas.openxmlformats.org/officeDocument/2006/relationships/hyperlink" Target="https://esipa.cz/sbirka/sbsrv.dll/sb?DR=SB&amp;CP=1997s012" TargetMode="External"/><Relationship Id="rId39" Type="http://schemas.openxmlformats.org/officeDocument/2006/relationships/hyperlink" Target="https://esipa.cz/sbirka/sbsrv.dll/sb?DR=SB&amp;CP=2001s423" TargetMode="External"/><Relationship Id="rId40" Type="http://schemas.openxmlformats.org/officeDocument/2006/relationships/hyperlink" Target="https://esipa.cz/sbirka/sbsrv.dll/sb?DR=SB&amp;CP=2006s311" TargetMode="External"/><Relationship Id="rId41" Type="http://schemas.openxmlformats.org/officeDocument/2006/relationships/hyperlink" Target="https://esipa.cz/sbirka/sbsrv.dll/sb?DR=SB&amp;CP=2006s059" TargetMode="External"/><Relationship Id="rId42" Type="http://schemas.openxmlformats.org/officeDocument/2006/relationships/header" Target="header1.xml"/><Relationship Id="rId4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501/2006 Sb. - původní znění</dc:title>
  <dc:description>Vyhláška o obecných požadavcích na využívání území</dc:description>
  <dc:subject/>
  <cp:keywords/>
  <cp:category/>
  <cp:lastModifiedBy/>
  <dcterms:created xsi:type="dcterms:W3CDTF">2007-01-01T00:00:00+01:00</dcterms:created>
  <dcterms:modified xsi:type="dcterms:W3CDTF">2024-02-13T16:00:11+01:00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