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Národního programu hospodárného nakládání s energií a využívání jejích obnovitelných a druhotných zdrojů.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neopomenutelným podkladem</w:t>
      </w:r>
      <w:r>
        <w:rPr>
          <w:vertAlign w:val="superscript"/>
        </w:rPr>
        <w:t xml:space="preserve">1a</w:t>
      </w:r>
      <w:r>
        <w:rPr/>
        <w:t xml:space="preserve">) pro územní plánování.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v oblasti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pětileté období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(5)</w:t>
      </w:r>
      <w:r>
        <w:rPr/>
        <w:t xml:space="preserve"> Kontrolu kotlů mohou provádět pouze osoby autorizované podle zvláštního právního předpisu</w:t>
      </w:r>
      <w:r>
        <w:rPr>
          <w:vertAlign w:val="superscript"/>
        </w:rPr>
        <w:t xml:space="preserve">4c</w:t>
      </w:r>
      <w:r>
        <w:rPr/>
        <w:t xml:space="preserve">). Osoby provádějící kontrolu podle odstavců 3 a 4 musí být přezkoušené ministerstvem z problematiky účinností užití energie a návrhů opatření. Způsob provedení kontroly a vyhodnocení účinnosti kotlů od jmenovitého výkonu 200 kW a rozsah přezkoušení osob provádějících kontrolu podle odstavců 3 a 4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(8)</w:t>
      </w:r>
      <w:r>
        <w:rPr/>
        <w:t xml:space="preserve"> Kontrolu klimatizačních systémů mohou provádět pouze osoby podle § 10 přezkoušené ministerstvem z problematiky užití účinnosti energie a návrhů opatření nebo osoby autorizované podle zvláštního právního předpisu</w:t>
      </w:r>
      <w:r>
        <w:rPr>
          <w:vertAlign w:val="superscript"/>
        </w:rPr>
        <w:t xml:space="preserve">4d</w:t>
      </w:r>
      <w:r>
        <w:rPr/>
        <w:t xml:space="preserve">). Rozsah přezkoušení stanoví prováděcí právní předpis.</w:t>
      </w:r>
    </w:p>
    <w:p>
      <w:pPr>
        <w:ind w:left="0" w:right="0"/>
      </w:pPr>
      <w:r>
        <w:rPr>
          <w:b/>
          <w:bCs/>
        </w:rPr>
        <w:t xml:space="preserve">(9)</w:t>
      </w:r>
      <w:r>
        <w:rPr/>
        <w:t xml:space="preserve"> Vlastník nebo provozovatel zařízení na rozvod tepelné energie</w:t>
      </w:r>
      <w:r>
        <w:rPr>
          <w:vertAlign w:val="superscript"/>
        </w:rPr>
        <w:t xml:space="preserve">2</w:t>
      </w:r>
      <w:r>
        <w:rPr/>
        <w:t xml:space="preserve">) a vlastník vnitřního rozvodu tepelné energie a chladu je povinen u nově zřizovaných zařízení na rozvod tepelné energie a vnitřní rozvod tepelné energie zajistit účinnost užití energie a vybavení rozvodů a vnitřních rozvodů tepelné energie a chladu stanovených prováděcím právním předpisem. Tuto povinnost má i v případě změny dokončených staveb v rozsahu podle zvláštního právního předpisu</w:t>
      </w:r>
      <w:r>
        <w:rPr>
          <w:vertAlign w:val="superscript"/>
        </w:rPr>
        <w:t xml:space="preserve">4</w:t>
      </w:r>
      <w:r>
        <w:rPr/>
        <w:t xml:space="preserve">). Vlastník nebo provozovatel zařízení pro přenos elektřiny nebo rozvod elektřiny je povinen vyhodnocovat účinnost užití elektřiny u všech provozovaných zařízení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6d</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a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držitelem oprávnění k výkonu činnosti energetického auditora podle právních předpisů jiného členského státu Evropské unie.</w:t>
      </w:r>
    </w:p>
    <w:p>
      <w:pPr>
        <w:ind w:left="0" w:right="0"/>
      </w:pPr>
      <w:r>
        <w:rPr>
          <w:b/>
          <w:bCs/>
        </w:rPr>
        <w:t xml:space="preserve">(11)</w:t>
      </w:r>
      <w:r>
        <w:rPr/>
        <w:t xml:space="preserve"> Provedení auditu osobou podle odstavce 10 je povinen zadavatel energetického auditu oznámit ministerstvu.</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technického směru a 3 roky praxe v oboru nebo ukončené středoškolské vzdělání nebo vzdělání bakalářského studijního programu technického směru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6d</w:t>
      </w:r>
      <w:r>
        <w:rPr/>
        <w:t xml:space="preserve">).</w:t>
      </w:r>
    </w:p>
    <w:p>
      <w:pPr>
        <w:ind w:left="0" w:right="0"/>
      </w:pPr>
      <w:r>
        <w:rPr>
          <w:b/>
          <w:bCs/>
        </w:rPr>
        <w:t xml:space="preserve">(7)</w:t>
      </w:r>
      <w:r>
        <w:rPr/>
        <w:t xml:space="preserve"> K žádosti o zápis do seznamu energetických auditorů podle odstavce 6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složení odborné zkoušky.</w:t>
      </w:r>
    </w:p>
    <w:p>
      <w:pPr>
        <w:ind w:left="0" w:right="0"/>
      </w:pPr>
      <w:r>
        <w:rPr>
          <w:b/>
          <w:bCs/>
        </w:rPr>
        <w:t xml:space="preserve">(8)</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w:t>
      </w:r>
    </w:p>
    <w:p>
      <w:pPr>
        <w:ind w:left="0" w:right="0"/>
      </w:pPr>
      <w:r>
        <w:rPr>
          <w:b/>
          <w:bCs/>
        </w:rPr>
        <w:t xml:space="preserve">(9)</w:t>
      </w:r>
      <w:r>
        <w:rPr/>
        <w:t xml:space="preserve"> Ministerstvo nepřipustí ke zkoušce nebo nezapíše do seznamu energetických auditorů 6 let od podání žádosti uchazeče, který v žádostech uvedl nepravdivé informace, zejména prokazující jeho odbornou způsobilost. V opakovaném případě má odmítnutí trvalou platnost.</w:t>
      </w:r>
    </w:p>
    <w:p>
      <w:pPr>
        <w:ind w:left="0" w:right="0"/>
      </w:pPr>
      <w:r>
        <w:rPr>
          <w:b/>
          <w:bCs/>
        </w:rPr>
        <w:t xml:space="preserve">(10)</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(11)</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(12)</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(13)</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(14)</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(15)</w:t>
      </w:r>
      <w:r>
        <w:rPr/>
        <w:t xml:space="preserve"> Seznam energetických auditů a ostatních činností, který předkládá energetický auditor podle odstavce 14,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(16)</w:t>
      </w:r>
      <w:r>
        <w:rPr/>
        <w:t xml:space="preserve"> Dokumenty podle odstavce 13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f),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 do 4 let od nabytí účinnosti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f),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f)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2 písm. a), d), e), f),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6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9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7"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8"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Vyhláška č. </w:t>
      </w:r>
      <w:hyperlink r:id="rId9" w:history="1">
        <w:r>
          <w:rPr>
            <w:color w:val="darkblue"/>
            <w:u w:val="single"/>
          </w:rPr>
          <w:t xml:space="preserve">135/2001 Sb.</w:t>
        </w:r>
      </w:hyperlink>
      <w:r>
        <w:rPr>
          <w:sz w:val="19.200000000000003"/>
          <w:szCs w:val="19.200000000000003"/>
        </w:rPr>
        <w:t xml:space="preserve">, o územně plánovacích podkladech a územně plánovací dokumentaci, ve znění vyhlášky č. </w:t>
      </w:r>
      <w:hyperlink r:id="rId10" w:history="1">
        <w:r>
          <w:rPr>
            <w:color w:val="darkblue"/>
            <w:u w:val="single"/>
          </w:rPr>
          <w:t xml:space="preserve">570/2002 Sb.</w:t>
        </w:r>
      </w:hyperlink>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1"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3"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5"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 odst. 1 písm. a) a b) zákona č. </w:t>
      </w:r>
      <w:hyperlink r:id="rId1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1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8"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17"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1"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2"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Vyhláška č. </w:t>
      </w:r>
      <w:hyperlink r:id="rId23"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Zákon č. </w:t>
      </w:r>
      <w:hyperlink r:id="rId2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2"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5"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5"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sectPr>
      <w:headerReference w:type="default" r:id="rId26"/>
      <w:footerReference w:type="default" r:id="rId2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177/2006 Sb. z </w:t>
          </w:r>
          <w:r>
            <w:rPr>
              <w:rStyle w:val="bold"/>
            </w:rPr>
            <w:t xml:space="preserve">1. 7. 2006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1993L0076" TargetMode="External"/><Relationship Id="rId8" Type="http://schemas.openxmlformats.org/officeDocument/2006/relationships/hyperlink" Target="https://esipa.cz/sbirka/sbsrv.dll/sb?DR=SB&amp;CP=32002L0091" TargetMode="External"/><Relationship Id="rId9" Type="http://schemas.openxmlformats.org/officeDocument/2006/relationships/hyperlink" Target="https://esipa.cz/sbirka/sbsrv.dll/sb?DR=SB&amp;CP=2001s135" TargetMode="External"/><Relationship Id="rId10" Type="http://schemas.openxmlformats.org/officeDocument/2006/relationships/hyperlink" Target="https://esipa.cz/sbirka/sbsrv.dll/sb?DR=SB&amp;CP=2002s570" TargetMode="External"/><Relationship Id="rId11" Type="http://schemas.openxmlformats.org/officeDocument/2006/relationships/hyperlink" Target="https://esipa.cz/sbirka/sbsrv.dll/sb?DR=SB&amp;CP=2001s185" TargetMode="External"/><Relationship Id="rId12" Type="http://schemas.openxmlformats.org/officeDocument/2006/relationships/hyperlink" Target="https://esipa.cz/sbirka/sbsrv.dll/sb?DR=SB&amp;CP=2000s458" TargetMode="External"/><Relationship Id="rId13" Type="http://schemas.openxmlformats.org/officeDocument/2006/relationships/hyperlink" Target="https://esipa.cz/sbirka/sbsrv.dll/sb?DR=SB&amp;CP=2001s195" TargetMode="External"/><Relationship Id="rId14" Type="http://schemas.openxmlformats.org/officeDocument/2006/relationships/hyperlink" Target="https://esipa.cz/sbirka/sbsrv.dll/sb?DR=SB&amp;CP=1992s017"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2002s086" TargetMode="External"/><Relationship Id="rId17" Type="http://schemas.openxmlformats.org/officeDocument/2006/relationships/hyperlink" Target="https://esipa.cz/sbirka/sbsrv.dll/sb?DR=SB&amp;CP=1992s360" TargetMode="External"/><Relationship Id="rId18" Type="http://schemas.openxmlformats.org/officeDocument/2006/relationships/hyperlink" Target="https://esipa.cz/sbirka/sbsrv.dll/sb?DR=SB&amp;CP=1994s072" TargetMode="External"/><Relationship Id="rId19" Type="http://schemas.openxmlformats.org/officeDocument/2006/relationships/hyperlink" Target="https://esipa.cz/sbirka/sbsrv.dll/sb?DR=SB&amp;CP=1987s020" TargetMode="External"/><Relationship Id="rId20" Type="http://schemas.openxmlformats.org/officeDocument/2006/relationships/hyperlink" Target="https://esipa.cz/sbirka/sbsrv.dll/sb?DR=SB&amp;CP=2001s291" TargetMode="External"/><Relationship Id="rId21" Type="http://schemas.openxmlformats.org/officeDocument/2006/relationships/hyperlink" Target="https://esipa.cz/sbirka/sbsrv.dll/sb?DR=SB&amp;CP=2001s152" TargetMode="External"/><Relationship Id="rId22" Type="http://schemas.openxmlformats.org/officeDocument/2006/relationships/hyperlink" Target="https://esipa.cz/sbirka/sbsrv.dll/sb?DR=SB&amp;CP=2004s442" TargetMode="External"/><Relationship Id="rId23" Type="http://schemas.openxmlformats.org/officeDocument/2006/relationships/hyperlink" Target="https://esipa.cz/sbirka/sbsrv.dll/sb?DR=SB&amp;CP=2001s213" TargetMode="External"/><Relationship Id="rId24" Type="http://schemas.openxmlformats.org/officeDocument/2006/relationships/hyperlink" Target="https://esipa.cz/sbirka/sbsrv.dll/sb?DR=SB&amp;CP=2004s018" TargetMode="External"/><Relationship Id="rId25" Type="http://schemas.openxmlformats.org/officeDocument/2006/relationships/hyperlink" Target="https://esipa.cz/sbirka/sbsrv.dll/sb?DR=SB&amp;CP=1967s071" TargetMode="External"/><Relationship Id="rId26"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177/2006 Sb. z 1. 7. 2006</dc:title>
  <dc:description>Zákon o hospodaření energií</dc:description>
  <dc:subject/>
  <cp:keywords/>
  <cp:category/>
  <cp:lastModifiedBy/>
  <dcterms:created xsi:type="dcterms:W3CDTF">2006-07-01T00:00:00+02:00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