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Úřadem pro technickou normalizaci, metrologii a státní zkušebnictví (dále jen „Úřad“) pro opakované nebo stálé použití vytvořený podle tohoto zákona a označený písmenným označením ČSN, jehož vydání bylo oznámeno ve Věstníku Úřadu. Česká technická norma není obecně závazná.</w:t>
      </w:r>
    </w:p>
    <w:p>
      <w:pPr>
        <w:ind w:left="0" w:right="0"/>
      </w:pPr>
      <w:r>
        <w:rPr>
          <w:b/>
          <w:bCs/>
        </w:rPr>
        <w:t xml:space="preserve">(2)</w:t>
      </w:r>
      <w:r>
        <w:rPr/>
        <w:t xml:space="preserve">  Soustavu českých technických norem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původní české technické normy,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evropské či mezinárodní normy přejaté překladem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evropské či mezinárodní normy přejaté v původním jazyce nebo přejaté schválením k přímému používání.</w:t>
      </w:r>
    </w:p>
    <w:p>
      <w:pPr>
        <w:ind w:left="0" w:right="0"/>
      </w:pPr>
      <w:r>
        <w:rPr>
          <w:b/>
          <w:bCs/>
        </w:rPr>
        <w:t xml:space="preserve">(3)</w:t>
      </w:r>
      <w:r>
        <w:rPr/>
        <w:t xml:space="preserve"> Název česká technická norma a písmenné označení ČSN nesmějí být použity k označení jiných dokumentů.</w:t>
      </w:r>
    </w:p>
    <w:p>
      <w:pPr>
        <w:ind w:left="0" w:right="0"/>
      </w:pPr>
      <w:r>
        <w:rPr>
          <w:b/>
          <w:bCs/>
        </w:rPr>
        <w:t xml:space="preserve">(4)</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vydávání a distribuci českých technických norem, jejich změny a zrušení v rozsahu vymezeném tímto zákonem zaručuje stát. Plnění těchto úkolů zajišťuje Úřad, který je národním normalizačním orgánem České republiky podle přímo použitelného předpisu Evropské unie upravujícího evropskou normalizaci</w:t>
      </w:r>
      <w:r>
        <w:rPr>
          <w:vertAlign w:val="superscript"/>
        </w:rPr>
        <w:t xml:space="preserve">9</w:t>
      </w:r>
      <w:r>
        <w:rPr/>
        <w:t xml:space="preserve">). Úřad při tom plní povinnosti vyplývající z mezinárodních smluv, kterými je Česká republika vázána, a z členství v mezinárodních a evropských normalizačních organizacích.</w:t>
      </w:r>
    </w:p>
    <w:p>
      <w:pPr>
        <w:ind w:left="0" w:right="0"/>
      </w:pPr>
      <w:r>
        <w:rPr>
          <w:b/>
          <w:bCs/>
        </w:rPr>
        <w:t xml:space="preserve">(2)</w:t>
      </w:r>
      <w:r>
        <w:rPr/>
        <w:t xml:space="preserve"> Úřad může zřídit Českou agenturu pro standardizaci (dále jen „Agentura“) jako státní příspěvkovou organizaci se sídlem v Praze. Agentura je podřízena Úřadu. V čele Agentury je generální ředitel, kterého jmenuje a odvolává předseda Úřadu. Agentura zajišťuje tvorbu, vydávání a distribuci českých technických norem a vede databázi českých technických norem a jiných technických dokumentů (dále jen „databáze“).</w:t>
      </w:r>
    </w:p>
    <w:p>
      <w:pPr>
        <w:ind w:left="0" w:right="0"/>
      </w:pPr>
      <w:r>
        <w:rPr>
          <w:b/>
          <w:bCs/>
        </w:rPr>
        <w:t xml:space="preserve">(3)</w:t>
      </w:r>
      <w:r>
        <w:rPr/>
        <w:t xml:space="preserve"> Agentura je oprávněna vybírat úplatu za odborné činnosti, jež vykonává. Tyto činnosti a výše úplaty jsou stanoveny v ceníku, který vydává Úřad prostřednictvím Věstníku Úřadu. Agentura je dále správcem poplatku za poskytnutí českých technických norem a jiných technických dokumentů, poplatku za přístup do databáze a poplatku za sponzorovaný přístup k českým technickým normám a jiným technickým dokumentům. Rozpočet Agentury je pro účely správy těchto poplatků veřejným rozpočtem.</w:t>
      </w:r>
    </w:p>
    <w:p>
      <w:pPr>
        <w:ind w:left="0" w:right="0"/>
      </w:pPr>
      <w:r>
        <w:rPr>
          <w:b/>
          <w:bCs/>
        </w:rPr>
        <w:t xml:space="preserve">(4)</w:t>
      </w:r>
      <w:r>
        <w:rPr/>
        <w:t xml:space="preserve"> Agentura vzniká dnem stanoveným ve zřizovací listině. Zřizovací listina dále obsahuje vymezení základní organizační struktury, vymezení majetku České republiky svěřeného příspěvkové organizaci při jejím zřízení a další podrobnosti týkající se předmětu její činnosti. Zřízení oznamuje Úřad ve Věstníku Úřadu do 30 dnů ode dne, kdy k uvedené skutečnosti došlo.</w:t>
      </w:r>
    </w:p>
    <w:p>
      <w:pPr>
        <w:ind w:left="0" w:right="0"/>
      </w:pPr>
      <w:r>
        <w:rPr>
          <w:b/>
          <w:bCs/>
        </w:rPr>
        <w:t xml:space="preserve">(5)</w:t>
      </w:r>
      <w:r>
        <w:rPr/>
        <w:t xml:space="preserve"> Úřad může rozhodnout o zrušení Agentury. V rozhodnutí stanoví den jejího zániku a zároveň určí způsob vypořádání práv a povinností vykonávaných příspěvkovou organizací; nestane-li se tak, přecházejí práva a povinnosti rušené příspěvkové organizace na Úřad. Zrušení příspěvkové organizace oznamuje Úřad ve Věstníku úřadu do 30 dnů ode dne, kdy k uvedené skutečnosti došlo.</w:t>
      </w:r>
    </w:p>
    <w:p>
      <w:pPr>
        <w:ind w:left="0" w:right="0"/>
      </w:pPr>
      <w:r>
        <w:rPr>
          <w:b/>
          <w:bCs/>
        </w:rPr>
        <w:t xml:space="preserve">(6)</w:t>
      </w:r>
      <w:r>
        <w:rPr/>
        <w:t xml:space="preserve"> Není-li Agentura zřízena, plní úkoly stanovené v tomto zákoně Úřad, s výjimkou umožnění sponzorovaného přístupu k českým technickým normám a jiným technickým dokumentům.</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a jiné technické dokumenty nebo jejich části vydané na jakémkoliv nosiči smějí být rozmnožovány a rozšiřovány jen se souhlasem Agentury.</w:t>
      </w:r>
    </w:p>
    <w:p>
      <w:pPr>
        <w:ind w:left="0" w:right="0"/>
      </w:pPr>
      <w:r>
        <w:rPr>
          <w:b/>
          <w:bCs/>
        </w:rPr>
        <w:t xml:space="preserve">(9)</w:t>
      </w:r>
      <w:r>
        <w:rPr/>
        <w:t xml:space="preserve"> Za účelem vydání vyhlášky k provedení § 6a odst. 4, § 6b odst. 4 a </w:t>
      </w:r>
      <w:r>
        <w:rPr/>
        <w:t xml:space="preserve">§ 6d</w:t>
      </w:r>
      <w:r>
        <w:rPr/>
        <w:t xml:space="preserve"> odst. 3 Úřad předkládá Ministerstvu průmyslu a obchodu (dále jen „Ministerstvo“) návrh sazby poplatku podle § 6a a návrh výše poplatku podle § 6b a 6d.</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následující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6a</w:t>
      </w:r>
      <w:r>
        <w:rPr>
          <w:rStyle w:val="hidden"/>
        </w:rPr>
        <w:t xml:space="preserve"> -</w:t>
      </w:r>
      <w:br/>
      <w:r>
        <w:rPr/>
        <w:t xml:space="preserve">Poplatek za poskytnutí českých technických norem a jiných technických dokumentů</w:t>
      </w:r>
    </w:p>
    <w:p>
      <w:pPr>
        <w:ind w:left="0" w:right="0"/>
      </w:pPr>
      <w:r>
        <w:rPr>
          <w:b/>
          <w:bCs/>
        </w:rPr>
        <w:t xml:space="preserve">(1)</w:t>
      </w:r>
      <w:r>
        <w:rPr/>
        <w:t xml:space="preserve"> Poplatníkem poplatku za poskytnutí českých technických norem a jiných technických dokumentů je žadatel o poskytnutí české technické normy nebo jiného technického dokumentu zařazených do databáze.</w:t>
      </w:r>
    </w:p>
    <w:p>
      <w:pPr>
        <w:ind w:left="0" w:right="0"/>
      </w:pPr>
      <w:r>
        <w:rPr>
          <w:b/>
          <w:bCs/>
        </w:rPr>
        <w:t xml:space="preserve">(2)</w:t>
      </w:r>
      <w:r>
        <w:rPr/>
        <w:t xml:space="preserve"> Předmětem poplatku za poskytnutí českých technických norem a jiných technických dokumentů je poskytnutí české technické normy nebo jiného technického dokumentu zařazených do databáze.</w:t>
      </w:r>
    </w:p>
    <w:p>
      <w:pPr>
        <w:ind w:left="0" w:right="0"/>
      </w:pPr>
      <w:r>
        <w:rPr>
          <w:b/>
          <w:bCs/>
        </w:rPr>
        <w:t xml:space="preserve">(3)</w:t>
      </w:r>
      <w:r>
        <w:rPr/>
        <w:t xml:space="preserve"> Základem poplatku za poskytnutí českých technických norem a jiných technických dokumentů je počet stran poskytnuté české technické normy nebo jiného technického dokumentu zařazených do databáze.</w:t>
      </w:r>
    </w:p>
    <w:p>
      <w:pPr>
        <w:ind w:left="0" w:right="0"/>
      </w:pPr>
      <w:r>
        <w:rPr>
          <w:b/>
          <w:bCs/>
        </w:rPr>
        <w:t xml:space="preserve">(4)</w:t>
      </w:r>
      <w:r>
        <w:rPr/>
        <w:t xml:space="preserve"> Sazba poplatku za poskytnutí českých technických norem a jiných technických dokumentů činí nejvýše 20 Kč za stranu. Sazbu poplatku stanoví prováděcí právní předpis.</w:t>
      </w:r>
    </w:p>
    <w:p>
      <w:pPr>
        <w:ind w:left="0" w:right="0"/>
      </w:pPr>
      <w:r>
        <w:rPr>
          <w:b/>
          <w:bCs/>
        </w:rPr>
        <w:t xml:space="preserve">(5)</w:t>
      </w:r>
      <w:r>
        <w:rPr/>
        <w:t xml:space="preserve"> Poplatek za poskytnutí českých technických norem a jiných technických dokumentů je splatný ve lhůtě 14 dnů ode dne podání žádosti o poskytnutí české technické normy nebo jiného technického dokumentu zařazených do databáze. Nezaplatí-li poplatník poplatek včas a ve správné výši, správce poplatku českou technickou normu nebo jiný technický dokument neposkytne a poplatková povinnost zanikne.</w:t>
      </w:r>
    </w:p>
    <w:p>
      <w:pPr>
        <w:ind w:left="0" w:right="0"/>
      </w:pPr>
      <w:r>
        <w:rPr>
          <w:b/>
          <w:bCs/>
        </w:rPr>
        <w:t xml:space="preserve">(6)</w:t>
      </w:r>
      <w:r>
        <w:rPr/>
        <w:t xml:space="preserve"> Příjem z poplatku za poskytnutí českých technických norem a jiných technických dokumentů je příjmem rozpočtu Agentury. Je-li správcem poplatku Úřad, je poplatek příjmem státního rozpočtu.</w:t>
      </w:r>
    </w:p>
    <w:p>
      <w:pPr>
        <w:pStyle w:val="Heading3"/>
      </w:pPr>
      <w:r>
        <w:rPr>
          <w:b/>
          <w:bCs/>
        </w:rPr>
        <w:t xml:space="preserve">§ 6b</w:t>
      </w:r>
      <w:r>
        <w:rPr>
          <w:rStyle w:val="hidden"/>
        </w:rPr>
        <w:t xml:space="preserve"> -</w:t>
      </w:r>
      <w:br/>
      <w:r>
        <w:rPr/>
        <w:t xml:space="preserve">Poplatek za přístup do databáze</w:t>
      </w:r>
    </w:p>
    <w:p>
      <w:pPr>
        <w:ind w:left="0" w:right="0"/>
      </w:pPr>
      <w:r>
        <w:rPr>
          <w:b/>
          <w:bCs/>
        </w:rPr>
        <w:t xml:space="preserve">(1)</w:t>
      </w:r>
      <w:r>
        <w:rPr/>
        <w:t xml:space="preserve"> Poplatníkem poplatku za přístup do databáze je žadatel o poskytnutí přístupových práv do databáze nebo žadatel o doplňkovou možnost tisku.</w:t>
      </w:r>
    </w:p>
    <w:p>
      <w:pPr>
        <w:ind w:left="0" w:right="0"/>
      </w:pPr>
      <w:r>
        <w:rPr>
          <w:b/>
          <w:bCs/>
        </w:rPr>
        <w:t xml:space="preserve">(2)</w:t>
      </w:r>
      <w:r>
        <w:rPr/>
        <w:t xml:space="preserve"> Předmětem poplatku za přístup do databáze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poskytnutí přístupových práv do databáze bez možnosti tisku na nejvýše 12 po sobě jdoucích kalendářních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poskytnutí přístupových práv do databáze s možností tisku na nejvýše 12 po sobě jdoucích kalendářních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doplňková možnost tisku českých technických norem a jiných technických dokumentů z databáze.</w:t>
      </w:r>
    </w:p>
    <w:p>
      <w:pPr>
        <w:ind w:left="0" w:right="0"/>
      </w:pPr>
      <w:r>
        <w:rPr>
          <w:b/>
          <w:bCs/>
        </w:rPr>
        <w:t xml:space="preserve">(3)</w:t>
      </w:r>
      <w:r>
        <w:rPr/>
        <w:t xml:space="preserve"> Výše poplatku za přístup do databáze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10 000 Kč v případě poplatku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součet částky 10 000 Kč a částky 20 Kč za stranu v případě poplatku podle odstavce 2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Kč za stranu v případě poplatku podle odstavce 2 písm. c).</w:t>
      </w:r>
    </w:p>
    <w:p>
      <w:pPr>
        <w:ind w:left="0" w:right="0"/>
      </w:pPr>
      <w:r>
        <w:rPr>
          <w:b/>
          <w:bCs/>
        </w:rPr>
        <w:t xml:space="preserve">(4)</w:t>
      </w:r>
      <w:r>
        <w:rPr/>
        <w:t xml:space="preserve"> Výši poplatku za přístup do databáze stanoví prováděcí právní předpis.</w:t>
      </w:r>
    </w:p>
    <w:p>
      <w:pPr>
        <w:ind w:left="0" w:right="0"/>
      </w:pPr>
      <w:r>
        <w:rPr>
          <w:b/>
          <w:bCs/>
        </w:rPr>
        <w:t xml:space="preserve">(5)</w:t>
      </w:r>
      <w:r>
        <w:rPr/>
        <w:t xml:space="preserve"> Poplatek za přístup do databáze je splatný ve lhůtě 14 dnů ode dne podání žádosti. Nezaplatí-li poplatník poplatek včas a ve správné výši, správce poplatku přístupová práva do databáze nebo doplňkovou možnost tisku neposkytne a poplatková povinnost zanikne.</w:t>
      </w:r>
    </w:p>
    <w:p>
      <w:pPr>
        <w:ind w:left="0" w:right="0"/>
      </w:pPr>
      <w:r>
        <w:rPr>
          <w:b/>
          <w:bCs/>
        </w:rPr>
        <w:t xml:space="preserve">(6)</w:t>
      </w:r>
      <w:r>
        <w:rPr/>
        <w:t xml:space="preserve"> Příjem z poplatku za přístup do databáze je příjmem rozpočtu Agentury. Je-li správcem poplatku Úřad, je poplatek příjmem státního rozpočtu.</w:t>
      </w:r>
    </w:p>
    <w:p>
      <w:pPr>
        <w:pStyle w:val="Heading3"/>
      </w:pPr>
      <w:r>
        <w:rPr>
          <w:b/>
          <w:bCs/>
        </w:rPr>
        <w:t xml:space="preserve">§ 6c</w:t>
      </w:r>
      <w:r>
        <w:rPr>
          <w:rStyle w:val="hidden"/>
        </w:rPr>
        <w:t xml:space="preserve"> -</w:t>
      </w:r>
      <w:br/>
      <w:r>
        <w:rPr/>
        <w:t xml:space="preserve">Sponzorovaný přístup k českým technickým normám a jiným technickým dokumentům</w:t>
      </w:r>
    </w:p>
    <w:p>
      <w:pPr>
        <w:ind w:left="0" w:right="0"/>
      </w:pPr>
      <w:r>
        <w:rPr>
          <w:b/>
          <w:bCs/>
        </w:rPr>
        <w:t xml:space="preserve">(1)</w:t>
      </w:r>
      <w:r>
        <w:rPr/>
        <w:t xml:space="preserve"> Sponzorovaným přístupem k českým technickým normám a jiným technickým dokumentům se rozumí bezplatné poskytování přístupu k české technické normě nebo jinému technickému dokumentu, které jsou pro účely uvedené ve zvláštním právním předpisu závazné, koncovým uživatelům na základě registrace způsobem umožňujícím dálkový přístup.</w:t>
      </w:r>
    </w:p>
    <w:p>
      <w:pPr>
        <w:ind w:left="0" w:right="0"/>
      </w:pPr>
      <w:r>
        <w:rPr>
          <w:b/>
          <w:bCs/>
        </w:rPr>
        <w:t xml:space="preserve">(2)</w:t>
      </w:r>
      <w:r>
        <w:rPr/>
        <w:t xml:space="preserve"> Jsou-li česká technická norma nebo jiný technický dokument pro účely uvedené ve zvláštním právním předpisu závazné, zajistí ministerstvo nebo jiný ústřední správní úřad nebo územní samosprávný celek</w:t>
      </w:r>
      <w:r>
        <w:rPr>
          <w:vertAlign w:val="superscript"/>
        </w:rPr>
        <w:t xml:space="preserve">18</w:t>
      </w:r>
      <w:r>
        <w:rPr/>
        <w:t xml:space="preserve">)</w:t>
      </w:r>
      <w:r>
        <w:rPr/>
        <w:t xml:space="preserve">, do jejichž působnosti tento zvláštní právní předpis spadá, u Agentury sponzorovaný přístup k této české technické normě nebo jinému technickému dokumentu.</w:t>
      </w:r>
    </w:p>
    <w:p>
      <w:pPr>
        <w:ind w:left="0" w:right="0"/>
      </w:pPr>
      <w:r>
        <w:rPr>
          <w:b/>
          <w:bCs/>
        </w:rPr>
        <w:t xml:space="preserve">(3)</w:t>
      </w:r>
      <w:r>
        <w:rPr/>
        <w:t xml:space="preserve"> Umožnění sponzorovaného přístupu k českým technickým normám a jiným technickým dokumentům sjedná Agentura s ministerstvem nebo jiným ústředním správním úřadem, do jejichž působnosti zvláštní právní předpis podle odstavce 1 spadá, v dohodě o sponzorovaném přístupu k českým technickým normám a jiným technickým dokumentům.</w:t>
      </w:r>
    </w:p>
    <w:p>
      <w:pPr>
        <w:pStyle w:val="Heading3"/>
      </w:pPr>
      <w:r>
        <w:rPr>
          <w:b/>
          <w:bCs/>
        </w:rPr>
        <w:t xml:space="preserve">§ 6d</w:t>
      </w:r>
      <w:r>
        <w:rPr>
          <w:rStyle w:val="hidden"/>
        </w:rPr>
        <w:t xml:space="preserve"> -</w:t>
      </w:r>
      <w:br/>
      <w:r>
        <w:rPr/>
        <w:t xml:space="preserve">Poplatek za sponzorovaný přístup k českým technickým normám a jiným technickým dokumentům</w:t>
      </w:r>
    </w:p>
    <w:p>
      <w:pPr>
        <w:ind w:left="0" w:right="0"/>
      </w:pPr>
      <w:r>
        <w:rPr>
          <w:b/>
          <w:bCs/>
        </w:rPr>
        <w:t xml:space="preserve">(1)</w:t>
      </w:r>
      <w:r>
        <w:rPr/>
        <w:t xml:space="preserve"> Poplatníkem poplatku za sponzorovaný přístup k českým technickým normám a jiným technickým dokumentům je ministerstvo nebo jiný ústřední správní úřad nebo územní samosprávný celek</w:t>
      </w:r>
      <w:r>
        <w:rPr>
          <w:vertAlign w:val="superscript"/>
        </w:rPr>
        <w:t xml:space="preserve">18</w:t>
      </w:r>
      <w:r>
        <w:rPr/>
        <w:t xml:space="preserve">)</w:t>
      </w:r>
      <w:r>
        <w:rPr/>
        <w:t xml:space="preserve">, které zajišťují sponzorovaný přístup k českým technickým normám a jiným technickým dokumentům.</w:t>
      </w:r>
    </w:p>
    <w:p>
      <w:pPr>
        <w:ind w:left="0" w:right="0"/>
      </w:pPr>
      <w:r>
        <w:rPr>
          <w:b/>
          <w:bCs/>
        </w:rPr>
        <w:t xml:space="preserve">(2)</w:t>
      </w:r>
      <w:r>
        <w:rPr/>
        <w:t xml:space="preserve"> Předmětem poplatku za sponzorovaný přístup k českým technickým normám a jiným technickým dokumentům je umožnění sponzorovaného přístupu k českým technickým normám a jiným technickým dokumentům.</w:t>
      </w:r>
    </w:p>
    <w:p>
      <w:pPr>
        <w:ind w:left="0" w:right="0"/>
      </w:pPr>
      <w:r>
        <w:rPr>
          <w:b/>
          <w:bCs/>
        </w:rPr>
        <w:t xml:space="preserve">(3)</w:t>
      </w:r>
      <w:r>
        <w:rPr/>
        <w:t xml:space="preserve"> Výše poplatku za sponzorovaný přístup k českým technickým normám a jiným technickým dokumentům činí nejvýše 23 000 000 Kč za 12 po sobě jdoucích kalendářních měsíců, a to na základě počtu zpřístupněných stran české technické normy nebo jiného technického dokumentu a předpokládaného počtu koncových uživatelů. Výši poplatku stanoví prováděcí právní předpis.</w:t>
      </w:r>
    </w:p>
    <w:p>
      <w:pPr>
        <w:ind w:left="0" w:right="0"/>
      </w:pPr>
      <w:r>
        <w:rPr>
          <w:b/>
          <w:bCs/>
        </w:rPr>
        <w:t xml:space="preserve">(4)</w:t>
      </w:r>
      <w:r>
        <w:rPr/>
        <w:t xml:space="preserve"> Poplatek za sponzorovaný přístup k českým technickým normám a jiným technickým dokumentům je splatný do 30 dnů ode dne účinnosti dohody o sponzorovaném přístupu k českým technickým normám a jiným technickým dokumentům mezi poplatníkem a správcem poplatku. Nezaplatí-li poplatník poplatek včas a ve správné výši, správce poplatku sponzorovaný přístup k českým technickým normám a jiným technickým dokumentům neumožní a poplatková povinnost zanikne.</w:t>
      </w:r>
    </w:p>
    <w:p>
      <w:pPr>
        <w:ind w:left="0" w:right="0"/>
      </w:pPr>
      <w:r>
        <w:rPr>
          <w:b/>
          <w:bCs/>
        </w:rPr>
        <w:t xml:space="preserve">(5)</w:t>
      </w:r>
      <w:r>
        <w:rPr/>
        <w:t xml:space="preserve"> Příjem z poplatku za sponzorovaný přístup k českým technickým normám a jiným technickým dokumentům je příjmem rozpočtu Agentury.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Úřad.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Autorizace, jejich rozsah a změny se zveřejňují oznámením ve Věstníku Úřadu.</w:t>
      </w:r>
    </w:p>
    <w:p>
      <w:pPr>
        <w:ind w:left="0" w:right="0"/>
      </w:pPr>
      <w:r>
        <w:rPr>
          <w:b/>
          <w:bCs/>
        </w:rPr>
        <w:t xml:space="preserve">(8)</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(9)</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ind w:left="0" w:right="0"/>
      </w:pPr>
      <w:r>
        <w:rPr>
          <w:b/>
          <w:bCs/>
        </w:rPr>
        <w:t xml:space="preserve">(10)</w:t>
      </w:r>
      <w:r>
        <w:rPr/>
        <w:t xml:space="preserve">  Vztahuje-li se autorizace k činnostem podle přímo použitelného předpisu Evropské unie v oblasti zdravotnických prostředků</w:t>
      </w:r>
      <w:r>
        <w:rPr>
          <w:vertAlign w:val="superscript"/>
        </w:rPr>
        <w:t xml:space="preserve">17</w:t>
      </w:r>
      <w:r>
        <w:rPr/>
        <w:t xml:space="preserve">)</w:t>
      </w:r>
      <w:r>
        <w:rPr/>
        <w:t xml:space="preserve">, ustanovení odstavců 1 až 9 se použije, pokud tento přímo použitelný předpis nestanoví jinak.</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w:t>
      </w:r>
      <w:r>
        <w:rPr/>
        <w:t xml:space="preserve">§ 18</w:t>
      </w:r>
      <w:r>
        <w:rPr/>
        <w:t xml:space="preserve"> odst. 3, je povinna přezkoumat certifikát nebo jiný dokument vydaný podle § 11a odst. 2 písm. c) bodu 1 a o výsledku přezkumu podat orgánu dozoru zprávu.</w:t>
      </w:r>
    </w:p>
    <w:p>
      <w:pPr>
        <w:pStyle w:val="Heading3"/>
      </w:pPr>
      <w:r>
        <w:rPr>
          <w:b/>
          <w:bCs/>
        </w:rPr>
        <w:t xml:space="preserve">§ 11b</w:t>
      </w:r>
    </w:p>
    <w:p>
      <w:pPr>
        <w:ind w:left="0" w:right="0"/>
      </w:pPr>
      <w:r>
        <w:rPr>
          <w:b/>
          <w:bCs/>
        </w:rPr>
        <w:t xml:space="preserve">(1)</w:t>
      </w:r>
      <w:r>
        <w:rPr/>
        <w:t xml:space="preserve"> Právnická osoba, které bylo pravomocným rozhodnutím Úřadu zrušeno rozhodnutí o autorizaci nebo pozastavena jeho účinnost,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tomto rozhodnutí Úřadu bez zbytečného odkladu informovat všechny dotčené hospodářské subjekty,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byla příslušná dokumentace týkající se činnosti autorizované osoby na vyžádání k dispozici Úřadu nebo orgánu dozoru, a to po dobu, kterou mu k tomu v tomto rozhodnutí Úřad stanovil.</w:t>
      </w:r>
    </w:p>
    <w:p>
      <w:pPr>
        <w:ind w:left="0" w:right="0"/>
      </w:pPr>
      <w:r>
        <w:rPr>
          <w:b/>
          <w:bCs/>
        </w:rPr>
        <w:t xml:space="preserve">(2)</w:t>
      </w:r>
      <w:r>
        <w:rPr/>
        <w:t xml:space="preserve">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pPr>
        <w:ind w:left="0" w:right="0"/>
      </w:pPr>
      <w:r>
        <w:rPr>
          <w:b/>
          <w:bCs/>
        </w:rPr>
        <w:t xml:space="preserve">(3)</w:t>
      </w:r>
      <w:r>
        <w:rPr/>
        <w:t xml:space="preserve">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pPr>
        <w:ind w:left="0" w:right="0"/>
      </w:pPr>
      <w:r>
        <w:rPr>
          <w:b/>
          <w:bCs/>
        </w:rPr>
        <w:t xml:space="preserve">(4)</w:t>
      </w:r>
      <w:r>
        <w:rPr/>
        <w:t xml:space="preserve">  V případě, že autorizovaná osoba hodlá ukončit nebo omezit svou činnost, je povinna před zrušením rozhodnutí o autorizaci nebo pozastavením jeho účinnosti převést práva a povinnosti na jinou autorizovanou osobu; odstavec  1 písm.  b) platí obdobně.</w:t>
      </w:r>
    </w:p>
    <w:p>
      <w:pPr>
        <w:ind w:left="0" w:right="0"/>
      </w:pPr>
      <w:r>
        <w:rPr>
          <w:b/>
          <w:bCs/>
        </w:rPr>
        <w:t xml:space="preserve">(5)</w:t>
      </w:r>
      <w:r>
        <w:rPr/>
        <w:t xml:space="preserve">  Má-li dojít k zániku právnické osoby, která je autorizovanou osobou, je tato povinna před zánikem příslušnou dokumentaci týkající se činnosti autorizované osoby předat Úřadu.</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 11d</w:t>
      </w:r>
    </w:p>
    <w:p>
      <w:pPr>
        <w:ind w:left="0" w:right="0"/>
      </w:pPr>
      <w:r>
        <w:rPr/>
        <w:t xml:space="preserve">Oznamování subjektů oprávněných provádět činnosti oznámeného subjektu při posuzování a ověřování stálosti vlastností stavebních výrobků s označením CE,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 a mezinárodních smluv.</w:t>
      </w:r>
    </w:p>
    <w:p>
      <w:pPr>
        <w:ind w:left="0" w:right="0"/>
      </w:pPr>
      <w:r>
        <w:rPr>
          <w:b/>
          <w:bCs/>
        </w:rPr>
        <w:t xml:space="preserve">(5)</w:t>
      </w:r>
      <w:r>
        <w:rPr/>
        <w:t xml:space="preserve"> Nadřízeným správním orgánem akreditačního orgánu je Ministerstvo.</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rozhoduje jeho statutární orgán. Odvolání nemá odkladný účinek. Návrh na rozhodnutí o odvolání předkládá statutárnímu orgánu komise k tomu zřízená. Tato komise má nejméně 5 členů. Předsedu a ostatní členy komise jmenuje statutární orgán. Členy komise jsou odborníci, kteří se jinak nepodílí na výkonu působnosti akreditačního orgánu.</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 18c</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Přestupky</w:t>
      </w:r>
    </w:p>
    <w:p>
      <w:pPr>
        <w:pStyle w:val="Heading4"/>
      </w:pPr>
      <w:r>
        <w:rPr>
          <w:b/>
          <w:bCs/>
        </w:rPr>
        <w:t xml:space="preserve">§ 19</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w:t>
      </w:r>
      <w:r>
        <w:rPr/>
        <w:t xml:space="preserve">§ 18a</w:t>
      </w:r>
      <w:r>
        <w:rPr/>
        <w:t xml:space="preserve">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w:t>
      </w:r>
      <w:r>
        <w:rPr/>
        <w:t xml:space="preserve">§ 18</w:t>
      </w:r>
      <w:r>
        <w:rPr/>
        <w:t xml:space="preserve"> odst. 2 písm. b) nebo c).</w:t>
      </w:r>
    </w:p>
    <w:p>
      <w:pPr>
        <w:ind w:left="0" w:right="0"/>
      </w:pPr>
      <w:r>
        <w:rPr>
          <w:b/>
          <w:bCs/>
        </w:rPr>
        <w:t xml:space="preserve">(2)</w:t>
      </w:r>
      <w:r>
        <w:rPr/>
        <w:t xml:space="preserve">  Autorizovaná osoba se dopustí přestupku tím, že nesplní některou z povinností podle § 11a odst. 2 nebo § 11b odst. 1 nebo 4.</w:t>
      </w:r>
    </w:p>
    <w:p>
      <w:pPr>
        <w:ind w:left="0" w:right="0"/>
      </w:pPr>
      <w:r>
        <w:rPr>
          <w:b/>
          <w:bCs/>
        </w:rPr>
        <w:t xml:space="preserve">(3)</w:t>
      </w:r>
      <w:r>
        <w:rPr/>
        <w:t xml:space="preserve">  Výrobce, dovozce, zplnomocněný zástupce nebo distributor se dopustí přestupku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přestupek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přestupek podle odstavce  1 písm.  b) nebo c),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přestupek podle odstavce  4 nebo 5.</w:t>
      </w:r>
    </w:p>
    <w:p>
      <w:pPr>
        <w:pStyle w:val="Heading4"/>
      </w:pPr>
      <w:r>
        <w:rPr>
          <w:b/>
          <w:bCs/>
        </w:rPr>
        <w:t xml:space="preserve">§ 19b</w:t>
      </w:r>
      <w:r>
        <w:rPr>
          <w:rStyle w:val="hidden"/>
        </w:rPr>
        <w:t xml:space="preserve"> -</w:t>
      </w:r>
      <w:br/>
      <w:r>
        <w:rPr/>
        <w:t xml:space="preserve">Společná ustanovení k přestupkům</w:t>
      </w:r>
    </w:p>
    <w:p>
      <w:pPr>
        <w:ind w:left="0" w:right="0"/>
      </w:pPr>
      <w:r>
        <w:rPr>
          <w:b/>
          <w:bCs/>
        </w:rPr>
        <w:t xml:space="preserve">(1)</w:t>
      </w:r>
      <w:r>
        <w:rPr/>
        <w:t xml:space="preserve">  Přestupky podle § 19 odst. 1 písm. b) a c), § 19a odst. 1 písm. b) až e) a § 19a odst. 2 projednává Úřad. Přestupky podle § 19 odst. 1 písm. a), § 19a odst. 1 písm. a), f) a g) a § 19a odst. 3 až 5 projednává orgán dozoru.</w:t>
      </w:r>
    </w:p>
    <w:p>
      <w:pPr>
        <w:ind w:left="0" w:right="0"/>
      </w:pPr>
      <w:r>
        <w:rPr>
          <w:b/>
          <w:bCs/>
        </w:rPr>
        <w:t xml:space="preserve">(2)</w:t>
      </w:r>
      <w:r>
        <w:rPr/>
        <w:t xml:space="preserve"> Pokuty vybírá orgán, který je uložil.</w:t>
      </w:r>
    </w:p>
    <w:p>
      <w:pPr>
        <w:ind w:left="0" w:right="0"/>
      </w:pPr>
      <w:r>
        <w:rPr>
          <w:b/>
          <w:bCs/>
        </w:rPr>
        <w:t xml:space="preserve">(3)</w:t>
      </w:r>
      <w:r>
        <w:rPr/>
        <w:t xml:space="preserve">  U přestupků podle § 19a odst. 1 písm. f) a g) a § 19a odst. 3 nelze upustit od uložení správního trestu.</w:t>
      </w:r>
    </w:p>
    <w:p>
      <w:pPr>
        <w:pStyle w:val="Heading4"/>
      </w:pPr>
      <w:r>
        <w:rPr>
          <w:b/>
          <w:bCs/>
        </w:rPr>
        <w:t xml:space="preserve">§ 19c</w:t>
      </w:r>
      <w:r>
        <w:rPr>
          <w:rStyle w:val="hidden"/>
        </w:rPr>
        <w:t xml:space="preserve"> -</w:t>
      </w:r>
      <w:br/>
      <w:r>
        <w:rPr/>
        <w:t xml:space="preserve">Věstník Úřadu</w:t>
      </w:r>
    </w:p>
    <w:p>
      <w:pPr>
        <w:ind w:left="0" w:right="0"/>
      </w:pPr>
      <w:r>
        <w:rPr/>
        <w:t xml:space="preserve">Úřad vydává Věstník Úřadu, který je publikační sbírkou v oblasti technické normalizace, metrologie a státního zkušebnictví. Ve Věstníku Úřadu se zveřejňují zejména významná oznámení ohledně tvorby a vydávání českých technických norem a jiných technických dokumentů, oznámení ohledně notifikovaných osob v oblasti státního zkušebnictví, oznámení ohledně autorizovaných osob v oblasti metrologie a ceník Agentury. Úřad zveřejňuje Věstník Úřadu způsobem umožňujícím dálkový přístup.</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2" w:history="1">
        <w:r>
          <w:rPr>
            <w:color w:val="darkblue"/>
            <w:u w:val="single"/>
          </w:rPr>
          <w:t xml:space="preserve">142/1991 Sb.</w:t>
        </w:r>
      </w:hyperlink>
      <w:r>
        <w:rPr/>
        <w:t xml:space="preserve">, ve znění zákona č. </w:t>
      </w:r>
      <w:hyperlink r:id="rId13"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4"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b/>
          <w:bCs/>
        </w:rPr>
        <w:t xml:space="preserve">(1)</w:t>
      </w:r>
      <w:r>
        <w:rPr/>
        <w:t xml:space="preserve"> Vláda vydá nařízení k provedení § 2 písm. b), c), d), § 3 odst. 2, § 7, § 11 odst. 1, 2 a 9, § 11a odst. 2, § 12, § 13 a </w:t>
      </w:r>
      <w:r>
        <w:rPr/>
        <w:t xml:space="preserve">§ 18</w:t>
      </w:r>
      <w:r>
        <w:rPr/>
        <w:t xml:space="preserve"> odst. 3.</w:t>
      </w:r>
    </w:p>
    <w:p>
      <w:pPr>
        <w:ind w:left="0" w:right="0"/>
      </w:pPr>
      <w:r>
        <w:rPr>
          <w:b/>
          <w:bCs/>
        </w:rPr>
        <w:t xml:space="preserve">(2)</w:t>
      </w:r>
      <w:r>
        <w:rPr/>
        <w:t xml:space="preserve"> Ministerstvo vydá vyhlášku k provedení § 6a odst. 4, § 6b odst. 4 a </w:t>
      </w:r>
      <w:r>
        <w:rPr/>
        <w:t xml:space="preserve">§ 6d</w:t>
      </w:r>
      <w:r>
        <w:rPr/>
        <w:t xml:space="preserve">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5" w:history="1">
        <w:r>
          <w:rPr>
            <w:color w:val="darkblue"/>
            <w:u w:val="single"/>
          </w:rPr>
          <w:t xml:space="preserve">64/1986 Sb.</w:t>
        </w:r>
      </w:hyperlink>
      <w:r>
        <w:rPr/>
        <w:t xml:space="preserve">, o České obchodní inspekci, ve znění zákona České národní rady č. </w:t>
      </w:r>
      <w:hyperlink r:id="rId16"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2"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6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9"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9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20"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1"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2" w:history="1">
        <w:r>
          <w:rPr>
            <w:color w:val="darkblue"/>
            <w:u w:val="single"/>
          </w:rPr>
          <w:t xml:space="preserve">§ 4</w:t>
        </w:r>
      </w:hyperlink>
      <w:r>
        <w:rPr>
          <w:sz w:val="19.200000000000003"/>
          <w:szCs w:val="19.200000000000003"/>
        </w:rPr>
        <w:t xml:space="preserve"> odst. 1 zákona č. </w:t>
      </w:r>
      <w:hyperlink r:id="rId21"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3" w:history="1">
        <w:r>
          <w:rPr>
            <w:color w:val="darkblue"/>
            <w:u w:val="single"/>
          </w:rPr>
          <w:t xml:space="preserve">§ 14</w:t>
        </w:r>
      </w:hyperlink>
      <w:r>
        <w:rPr>
          <w:sz w:val="19.200000000000003"/>
          <w:szCs w:val="19.200000000000003"/>
        </w:rPr>
        <w:t xml:space="preserve"> a </w:t>
      </w:r>
      <w:hyperlink r:id="rId24" w:history="1">
        <w:r>
          <w:rPr>
            <w:color w:val="darkblue"/>
            <w:u w:val="single"/>
          </w:rPr>
          <w:t xml:space="preserve">15</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40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5" w:history="1">
        <w:r>
          <w:rPr>
            <w:color w:val="darkblue"/>
            <w:u w:val="single"/>
          </w:rPr>
          <w:t xml:space="preserve">§ 13</w:t>
        </w:r>
      </w:hyperlink>
      <w:r>
        <w:rPr>
          <w:sz w:val="19.200000000000003"/>
          <w:szCs w:val="19.200000000000003"/>
        </w:rPr>
        <w:t xml:space="preserve"> odst. 2 písm. c), </w:t>
      </w:r>
      <w:hyperlink r:id="rId26" w:history="1">
        <w:r>
          <w:rPr>
            <w:color w:val="darkblue"/>
            <w:u w:val="single"/>
          </w:rPr>
          <w:t xml:space="preserve">§ 16</w:t>
        </w:r>
      </w:hyperlink>
      <w:r>
        <w:rPr>
          <w:sz w:val="19.200000000000003"/>
          <w:szCs w:val="19.200000000000003"/>
        </w:rPr>
        <w:t xml:space="preserve">, </w:t>
      </w:r>
      <w:hyperlink r:id="rId27" w:history="1">
        <w:r>
          <w:rPr>
            <w:color w:val="darkblue"/>
            <w:u w:val="single"/>
          </w:rPr>
          <w:t xml:space="preserve">20</w:t>
        </w:r>
      </w:hyperlink>
      <w:r>
        <w:rPr>
          <w:sz w:val="19.200000000000003"/>
          <w:szCs w:val="19.200000000000003"/>
        </w:rPr>
        <w:t xml:space="preserve"> a </w:t>
      </w:r>
      <w:hyperlink r:id="rId28" w:history="1">
        <w:r>
          <w:rPr>
            <w:color w:val="darkblue"/>
            <w:u w:val="single"/>
          </w:rPr>
          <w:t xml:space="preserve">21</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30/1968 Sb.</w:t>
        </w:r>
      </w:hyperlink>
      <w:r>
        <w:rPr/>
        <w:t xml:space="preserve">, o státním zkušebnictví, ve znění zákona č. </w:t>
      </w:r>
      <w:hyperlink r:id="rId29" w:history="1">
        <w:r>
          <w:rPr>
            <w:color w:val="darkblue"/>
            <w:u w:val="single"/>
          </w:rPr>
          <w:t xml:space="preserve">54/1987 Sb.</w:t>
        </w:r>
      </w:hyperlink>
      <w:r>
        <w:rPr/>
        <w:t xml:space="preserve">, zákona č. </w:t>
      </w:r>
      <w:hyperlink r:id="rId30" w:history="1">
        <w:r>
          <w:rPr>
            <w:color w:val="darkblue"/>
            <w:u w:val="single"/>
          </w:rPr>
          <w:t xml:space="preserve">194/1988 Sb.</w:t>
        </w:r>
      </w:hyperlink>
      <w:r>
        <w:rPr/>
        <w:t xml:space="preserve">, zákona č. </w:t>
      </w:r>
      <w:hyperlink r:id="rId31" w:history="1">
        <w:r>
          <w:rPr>
            <w:color w:val="darkblue"/>
            <w:u w:val="single"/>
          </w:rPr>
          <w:t xml:space="preserve">479/1992 Sb.</w:t>
        </w:r>
      </w:hyperlink>
      <w:r>
        <w:rPr/>
        <w:t xml:space="preserve"> a zákona č. </w:t>
      </w:r>
      <w:hyperlink r:id="rId32"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2" w:history="1">
        <w:r>
          <w:rPr>
            <w:color w:val="darkblue"/>
            <w:u w:val="single"/>
          </w:rPr>
          <w:t xml:space="preserve">142/1991 Sb.</w:t>
        </w:r>
      </w:hyperlink>
      <w:r>
        <w:rPr/>
        <w:t xml:space="preserve">, o československých technických normách, ve znění zákona č. </w:t>
      </w:r>
      <w:hyperlink r:id="rId13"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3"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4" w:history="1">
        <w:r>
          <w:rPr>
            <w:color w:val="darkblue"/>
            <w:u w:val="single"/>
          </w:rPr>
          <w:t xml:space="preserve">101/1988 Sb.</w:t>
        </w:r>
      </w:hyperlink>
      <w:r>
        <w:rPr/>
        <w:t xml:space="preserve">, o certifikaci výrobků, ve znění vyhlášky č. </w:t>
      </w:r>
      <w:hyperlink r:id="rId35"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6" w:history="1">
        <w:r>
          <w:rPr>
            <w:color w:val="darkblue"/>
            <w:u w:val="single"/>
          </w:rPr>
          <w:t xml:space="preserve">585/1992 Sb.</w:t>
        </w:r>
      </w:hyperlink>
      <w:r>
        <w:rPr/>
        <w:t xml:space="preserve">, kterou se provádí zákon č. </w:t>
      </w:r>
      <w:hyperlink r:id="rId14" w:history="1">
        <w:r>
          <w:rPr>
            <w:color w:val="darkblue"/>
            <w:u w:val="single"/>
          </w:rPr>
          <w:t xml:space="preserve">30/1968 Sb.</w:t>
        </w:r>
      </w:hyperlink>
      <w:r>
        <w:rPr/>
        <w:t xml:space="preserve">, o státním zkušebnictví, ve znění vyhlášky č. </w:t>
      </w:r>
      <w:hyperlink r:id="rId37"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8"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9"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40"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1"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2" w:history="1">
        <w:r>
          <w:rPr>
            <w:color w:val="darkblue"/>
            <w:u w:val="single"/>
          </w:rPr>
          <w:t xml:space="preserve">65/1965 Sb.</w:t>
        </w:r>
      </w:hyperlink>
      <w:r>
        <w:rPr>
          <w:sz w:val="19.200000000000003"/>
          <w:szCs w:val="19.200000000000003"/>
        </w:rPr>
        <w:t xml:space="preserve">, zákoník práce, ve znění zákona č. </w:t>
      </w:r>
      <w:hyperlink r:id="rId43"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4"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5" w:history="1">
        <w:r>
          <w:rPr>
            <w:color w:val="darkblue"/>
            <w:u w:val="single"/>
          </w:rPr>
          <w:t xml:space="preserve">258/2000 Sb.</w:t>
        </w:r>
      </w:hyperlink>
      <w:r>
        <w:rPr>
          <w:sz w:val="19.200000000000003"/>
          <w:szCs w:val="19.200000000000003"/>
        </w:rPr>
        <w:t xml:space="preserve">, o ochraně veřejného zdraví, ve znění zákona č. </w:t>
      </w:r>
      <w:hyperlink r:id="rId46" w:history="1">
        <w:r>
          <w:rPr>
            <w:color w:val="darkblue"/>
            <w:u w:val="single"/>
          </w:rPr>
          <w:t xml:space="preserve">254/2001 Sb.</w:t>
        </w:r>
      </w:hyperlink>
      <w:r>
        <w:rPr>
          <w:sz w:val="19.200000000000003"/>
          <w:szCs w:val="19.200000000000003"/>
        </w:rPr>
        <w:t xml:space="preserve"> a zákona č. </w:t>
      </w:r>
      <w:hyperlink r:id="rId47"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8"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49"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5"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5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51"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hyperlink r:id="rId53" w:history="1">
        <w:r>
          <w:rPr>
            <w:color w:val="darkblue"/>
            <w:u w:val="single"/>
          </w:rPr>
          <w:t xml:space="preserve"/>
        </w:r>
      </w:hyperlink>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Čl. 27 nařízení Evropského parlamentu a Rady </w:t>
      </w:r>
      <w:hyperlink r:id="rId55" w:history="1">
        <w:r>
          <w:rPr>
            <w:color w:val="darkblue"/>
            <w:u w:val="single"/>
          </w:rPr>
          <w:t xml:space="preserve">(EU) č. 1025/2012</w:t>
        </w:r>
      </w:hyperlink>
      <w:r>
        <w:rPr>
          <w:sz w:val="19.200000000000003"/>
          <w:szCs w:val="19.200000000000003"/>
        </w:rPr>
        <w:t xml:space="preserve"> o evropské normalizaci, změně směrnic Rady </w:t>
      </w:r>
      <w:hyperlink r:id="rId56" w:history="1">
        <w:r>
          <w:rPr>
            <w:color w:val="darkblue"/>
            <w:u w:val="single"/>
          </w:rPr>
          <w:t xml:space="preserve">89/686/EHS</w:t>
        </w:r>
      </w:hyperlink>
      <w:r>
        <w:rPr>
          <w:sz w:val="19.200000000000003"/>
          <w:szCs w:val="19.200000000000003"/>
        </w:rPr>
        <w:t xml:space="preserve"> a </w:t>
      </w:r>
      <w:hyperlink r:id="rId57" w:history="1">
        <w:r>
          <w:rPr>
            <w:color w:val="darkblue"/>
            <w:u w:val="single"/>
          </w:rPr>
          <w:t xml:space="preserve">93/15/EHS</w:t>
        </w:r>
      </w:hyperlink>
      <w:r>
        <w:rPr>
          <w:sz w:val="19.200000000000003"/>
          <w:szCs w:val="19.200000000000003"/>
        </w:rPr>
        <w:t xml:space="preserve"> a směrnic Evropského parlamentu a Rady </w:t>
      </w:r>
      <w:hyperlink r:id="rId58" w:history="1">
        <w:r>
          <w:rPr>
            <w:color w:val="darkblue"/>
            <w:u w:val="single"/>
          </w:rPr>
          <w:t xml:space="preserve">94/9/ES</w:t>
        </w:r>
      </w:hyperlink>
      <w:r>
        <w:rPr>
          <w:sz w:val="19.200000000000003"/>
          <w:szCs w:val="19.200000000000003"/>
        </w:rPr>
        <w:t xml:space="preserve"> , </w:t>
      </w:r>
      <w:hyperlink r:id="rId59" w:history="1">
        <w:r>
          <w:rPr>
            <w:color w:val="darkblue"/>
            <w:u w:val="single"/>
          </w:rPr>
          <w:t xml:space="preserve">94/25/ES</w:t>
        </w:r>
      </w:hyperlink>
      <w:r>
        <w:rPr>
          <w:sz w:val="19.200000000000003"/>
          <w:szCs w:val="19.200000000000003"/>
        </w:rPr>
        <w:t xml:space="preserve"> , </w:t>
      </w:r>
      <w:hyperlink r:id="rId60" w:history="1">
        <w:r>
          <w:rPr>
            <w:color w:val="darkblue"/>
            <w:u w:val="single"/>
          </w:rPr>
          <w:t xml:space="preserve">95/16/ES</w:t>
        </w:r>
      </w:hyperlink>
      <w:r>
        <w:rPr>
          <w:sz w:val="19.200000000000003"/>
          <w:szCs w:val="19.200000000000003"/>
        </w:rPr>
        <w:t xml:space="preserve"> , </w:t>
      </w:r>
      <w:hyperlink r:id="rId61" w:history="1">
        <w:r>
          <w:rPr>
            <w:color w:val="darkblue"/>
            <w:u w:val="single"/>
          </w:rPr>
          <w:t xml:space="preserve">97/23/ES</w:t>
        </w:r>
      </w:hyperlink>
      <w:r>
        <w:rPr>
          <w:sz w:val="19.200000000000003"/>
          <w:szCs w:val="19.200000000000003"/>
        </w:rPr>
        <w:t xml:space="preserve"> , </w:t>
      </w:r>
      <w:hyperlink r:id="rId62" w:history="1">
        <w:r>
          <w:rPr>
            <w:color w:val="darkblue"/>
            <w:u w:val="single"/>
          </w:rPr>
          <w:t xml:space="preserve">98/34/ES</w:t>
        </w:r>
      </w:hyperlink>
      <w:r>
        <w:rPr>
          <w:sz w:val="19.200000000000003"/>
          <w:szCs w:val="19.200000000000003"/>
        </w:rPr>
        <w:t xml:space="preserve"> , </w:t>
      </w:r>
      <w:hyperlink r:id="rId63" w:history="1">
        <w:r>
          <w:rPr>
            <w:color w:val="darkblue"/>
            <w:u w:val="single"/>
          </w:rPr>
          <w:t xml:space="preserve">2004/22/ES</w:t>
        </w:r>
      </w:hyperlink>
      <w:r>
        <w:rPr>
          <w:sz w:val="19.200000000000003"/>
          <w:szCs w:val="19.200000000000003"/>
        </w:rPr>
        <w:t xml:space="preserve"> , </w:t>
      </w:r>
      <w:hyperlink r:id="rId64" w:history="1">
        <w:r>
          <w:rPr>
            <w:color w:val="darkblue"/>
            <w:u w:val="single"/>
          </w:rPr>
          <w:t xml:space="preserve">2007/23/ES</w:t>
        </w:r>
      </w:hyperlink>
      <w:r>
        <w:rPr>
          <w:sz w:val="19.200000000000003"/>
          <w:szCs w:val="19.200000000000003"/>
        </w:rPr>
        <w:t xml:space="preserve"> , </w:t>
      </w:r>
      <w:hyperlink r:id="rId65" w:history="1">
        <w:r>
          <w:rPr>
            <w:color w:val="darkblue"/>
            <w:u w:val="single"/>
          </w:rPr>
          <w:t xml:space="preserve">2009/23/ES</w:t>
        </w:r>
      </w:hyperlink>
      <w:r>
        <w:rPr>
          <w:sz w:val="19.200000000000003"/>
          <w:szCs w:val="19.200000000000003"/>
        </w:rPr>
        <w:t xml:space="preserve"> a </w:t>
      </w:r>
      <w:hyperlink r:id="rId66" w:history="1">
        <w:r>
          <w:rPr>
            <w:color w:val="darkblue"/>
            <w:u w:val="single"/>
          </w:rPr>
          <w:t xml:space="preserve">2009/105/ES</w:t>
        </w:r>
      </w:hyperlink>
      <w:r>
        <w:rPr>
          <w:sz w:val="19.200000000000003"/>
          <w:szCs w:val="19.200000000000003"/>
        </w:rPr>
        <w:t xml:space="preserve"> , a kterým se ruší rozhodnutí Rady </w:t>
      </w:r>
      <w:hyperlink r:id="rId67" w:history="1">
        <w:r>
          <w:rPr>
            <w:color w:val="darkblue"/>
            <w:u w:val="single"/>
          </w:rPr>
          <w:t xml:space="preserve">87/95/EHS</w:t>
        </w:r>
      </w:hyperlink>
      <w:r>
        <w:rPr>
          <w:sz w:val="19.200000000000003"/>
          <w:szCs w:val="19.200000000000003"/>
        </w:rPr>
        <w:t xml:space="preserve"> a rozhodnutí Evropského parlamentu a Rady č. </w:t>
      </w:r>
      <w:hyperlink r:id="rId68" w:history="1">
        <w:r>
          <w:rPr>
            <w:color w:val="darkblue"/>
            <w:u w:val="single"/>
          </w:rPr>
          <w:t xml:space="preserve">1673/2006/ES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69"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70"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Nařízení Komise č. 920/2013 o jmenování oznámených subjektů podle směrnice Rady </w:t>
      </w:r>
      <w:hyperlink r:id="rId71" w:history="1">
        <w:r>
          <w:rPr>
            <w:color w:val="darkblue"/>
            <w:u w:val="single"/>
          </w:rPr>
          <w:t xml:space="preserve">90/385/EHS</w:t>
        </w:r>
      </w:hyperlink>
      <w:r>
        <w:rPr>
          <w:sz w:val="19.200000000000003"/>
          <w:szCs w:val="19.200000000000003"/>
        </w:rPr>
        <w:t xml:space="preserve"> o aktivních implantabilních zdravotnických prostředcích a směrnice Rady </w:t>
      </w:r>
      <w:hyperlink r:id="rId72" w:history="1">
        <w:r>
          <w:rPr>
            <w:color w:val="darkblue"/>
            <w:u w:val="single"/>
          </w:rPr>
          <w:t xml:space="preserve">93/42/EHS</w:t>
        </w:r>
      </w:hyperlink>
      <w:r>
        <w:rPr>
          <w:sz w:val="19.200000000000003"/>
          <w:szCs w:val="19.200000000000003"/>
        </w:rPr>
        <w:t xml:space="preserve"> o zdravotnických prostředcích a dozoru nad těmito subjekty.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7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7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75" w:history="1">
        <w:r>
          <w:rPr>
            <w:color w:val="darkblue"/>
            <w:u w:val="single"/>
          </w:rPr>
          <w:t xml:space="preserve">131/2000 Sb.</w:t>
        </w:r>
      </w:hyperlink>
      <w:r>
        <w:rPr>
          <w:sz w:val="19.200000000000003"/>
          <w:szCs w:val="19.200000000000003"/>
        </w:rPr>
        <w:t xml:space="preserve">, o hlavním městě Praze, ve znění pozdějších předpisů.</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76"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76"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76"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4" w:history="1">
        <w:r>
          <w:rPr>
            <w:color w:val="darkblue"/>
            <w:u w:val="single"/>
          </w:rPr>
          <w:t xml:space="preserve">281/2009 Sb.</w:t>
        </w:r>
      </w:hyperlink>
      <w:r>
        <w:rPr/>
        <w:t xml:space="preserve"> nemůže byt zapracována, protože 19 odst.  7 zákona č. </w:t>
      </w:r>
      <w:hyperlink r:id="rId76"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77"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76"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76"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76"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p>
      <w:pPr>
        <w:pStyle w:val="Heading1"/>
      </w:pPr>
      <w:r>
        <w:rPr>
          <w:b/>
          <w:bCs/>
        </w:rPr>
        <w:t xml:space="preserve">ČÁST PRVNÍ (Čl. II) zákona č. 91/2016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zákona č. </w:t>
      </w:r>
      <w:hyperlink r:id="rId76" w:history="1">
        <w:r>
          <w:rPr>
            <w:color w:val="darkblue"/>
            <w:u w:val="single"/>
          </w:rPr>
          <w:t xml:space="preserve">22/1997 Sb.</w:t>
        </w:r>
      </w:hyperlink>
      <w:r>
        <w:rPr/>
        <w:t xml:space="preserve">, ve znění účinném přede dnem nabytí účinnosti tohoto zákona.</w:t>
      </w:r>
    </w:p>
    <w:p>
      <w:pPr>
        <w:pStyle w:val="Heading1"/>
      </w:pPr>
      <w:r>
        <w:rPr>
          <w:b/>
          <w:bCs/>
        </w:rPr>
        <w:t xml:space="preserve">ČÁST ŠEDESÁTÁ ČTVRTÁ (Čl. LXVI) zákona č. </w:t>
      </w:r>
      <w:hyperlink r:id="rId79" w:history="1">
        <w:r>
          <w:rPr>
            <w:color w:val="darkblue"/>
            <w:u w:val="single"/>
          </w:rPr>
          <w:t xml:space="preserve">277/2019 Sb.</w:t>
        </w:r>
      </w:hyperlink>
      <w:r>
        <w:rPr>
          <w:b/>
          <w:bCs/>
        </w:rPr>
        <w:t xml:space="preserve"> ve znění zákona č. </w:t>
      </w:r>
      <w:hyperlink r:id="rId80" w:history="1">
        <w:r>
          <w:rPr>
            <w:color w:val="darkblue"/>
            <w:u w:val="single"/>
          </w:rPr>
          <w:t xml:space="preserve">177/2022 Sb.</w:t>
        </w:r>
      </w:hyperlink>
      <w:r>
        <w:rPr>
          <w:b/>
          <w:bCs/>
        </w:rPr>
        <w:t xml:space="preserve"> zní:</w:t>
      </w:r>
    </w:p>
    <w:p>
      <w:pPr>
        <w:pStyle w:val="Heading2"/>
      </w:pPr>
      <w:r>
        <w:rPr>
          <w:b/>
          <w:bCs/>
          <w:caps/>
        </w:rPr>
        <w:t xml:space="preserve">Část šedesátá čtvrtá</w:t>
      </w:r>
      <w:r>
        <w:rPr>
          <w:rStyle w:val="hidden"/>
        </w:rPr>
        <w:t xml:space="preserve"> -</w:t>
      </w:r>
      <w:br/>
      <w:r>
        <w:rPr/>
        <w:t xml:space="preserve">Účinnost</w:t>
      </w:r>
    </w:p>
    <w:p>
      <w:pPr>
        <w:pStyle w:val="Heading3"/>
      </w:pPr>
      <w:r>
        <w:rPr>
          <w:b/>
          <w:bCs/>
        </w:rPr>
        <w:t xml:space="preserve">Čl. LXVI</w:t>
      </w:r>
    </w:p>
    <w:p>
      <w:pPr>
        <w:ind w:left="0" w:right="0"/>
      </w:pPr>
      <w:r>
        <w:rPr/>
        <w:t xml:space="preserve">Tento zákon nabývá účinnosti dnem 1. ledna 2024, s výjimkou ustanovení čl. LXI bodu 25 a části šedesáté třetí, které nabývají účinnosti dnem 31. prosince 2019.</w:t>
      </w:r>
    </w:p>
    <w:p>
      <w:pPr>
        <w:pStyle w:val="Heading1"/>
      </w:pPr>
      <w:r>
        <w:rPr>
          <w:b/>
          <w:bCs/>
        </w:rPr>
        <w:t xml:space="preserve">ČÁST PRVNÍ (Čl. II) zákona č. 526/2020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zákona č. </w:t>
      </w:r>
      <w:hyperlink r:id="rId76" w:history="1">
        <w:r>
          <w:rPr>
            <w:color w:val="darkblue"/>
            <w:u w:val="single"/>
          </w:rPr>
          <w:t xml:space="preserve">22/1997 Sb.</w:t>
        </w:r>
      </w:hyperlink>
      <w:r>
        <w:rPr/>
        <w:t xml:space="preserve">, ve znění účinném přede dnem nabytí účinnosti tohoto zákona.</w:t>
      </w:r>
    </w:p>
    <w:sectPr>
      <w:headerReference w:type="default" r:id="rId81"/>
      <w:footerReference w:type="default" r:id="rId8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277/2019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09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2023s087" TargetMode="External"/><Relationship Id="rId12" Type="http://schemas.openxmlformats.org/officeDocument/2006/relationships/hyperlink" Target="https://esipa.cz/sbirka/sbsrv.dll/sb?DR=SB&amp;CP=1991s142" TargetMode="External"/><Relationship Id="rId13" Type="http://schemas.openxmlformats.org/officeDocument/2006/relationships/hyperlink" Target="https://esipa.cz/sbirka/sbsrv.dll/sb?DR=SB&amp;CP=1992s632" TargetMode="External"/><Relationship Id="rId14" Type="http://schemas.openxmlformats.org/officeDocument/2006/relationships/hyperlink" Target="https://esipa.cz/sbirka/sbsrv.dll/sb?DR=SB&amp;CP=1968s030" TargetMode="External"/><Relationship Id="rId15" Type="http://schemas.openxmlformats.org/officeDocument/2006/relationships/hyperlink" Target="https://esipa.cz/sbirka/sbsrv.dll/sb?DR=SB&amp;CP=1986s064" TargetMode="External"/><Relationship Id="rId16" Type="http://schemas.openxmlformats.org/officeDocument/2006/relationships/hyperlink" Target="https://esipa.cz/sbirka/sbsrv.dll/sb?DR=SB&amp;CP=1992s240" TargetMode="External"/><Relationship Id="rId17" Type="http://schemas.openxmlformats.org/officeDocument/2006/relationships/hyperlink" Target="https://esipa.cz/sbirka/sbsrv.dll/sb?DR=SB&amp;CP=1990s526" TargetMode="External"/><Relationship Id="rId18" Type="http://schemas.openxmlformats.org/officeDocument/2006/relationships/hyperlink" Target="https://esipa.cz/sbirka/sbsrv.dll/sb?DR=SB&amp;CP=1994s135" TargetMode="External"/><Relationship Id="rId19" Type="http://schemas.openxmlformats.org/officeDocument/2006/relationships/hyperlink" Target="https://esipa.cz/sbirka/sbsrv.dll/sb?DR=SB&amp;CP=1993s020" TargetMode="External"/><Relationship Id="rId20" Type="http://schemas.openxmlformats.org/officeDocument/2006/relationships/hyperlink" Target="https://esipa.cz/sbirka/sbsrv.dll/sb?DR=SB&amp;CP=1967s071" TargetMode="External"/><Relationship Id="rId21" Type="http://schemas.openxmlformats.org/officeDocument/2006/relationships/hyperlink" Target="https://esipa.cz/sbirka/sbsrv.dll/sb?DR=SB&amp;CP=1990s505" TargetMode="External"/><Relationship Id="rId22" Type="http://schemas.openxmlformats.org/officeDocument/2006/relationships/hyperlink" Target="https://esipa.cz/sbirka/sbsrv.dll/sb?DR=SB&amp;CP=1990s505#C01_P004" TargetMode="External"/><Relationship Id="rId23" Type="http://schemas.openxmlformats.org/officeDocument/2006/relationships/hyperlink" Target="https://esipa.cz/sbirka/sbsrv.dll/sb?DR=SB&amp;CP=1990s505#C05_P014" TargetMode="External"/><Relationship Id="rId24" Type="http://schemas.openxmlformats.org/officeDocument/2006/relationships/hyperlink" Target="https://esipa.cz/sbirka/sbsrv.dll/sb?DR=SB&amp;CP=1990s505#C05_P015" TargetMode="External"/><Relationship Id="rId25" Type="http://schemas.openxmlformats.org/officeDocument/2006/relationships/hyperlink" Target="https://esipa.cz/sbirka/sbsrv.dll/sb?DR=SB&amp;CP=1990s505#C05_P013" TargetMode="External"/><Relationship Id="rId26" Type="http://schemas.openxmlformats.org/officeDocument/2006/relationships/hyperlink" Target="https://esipa.cz/sbirka/sbsrv.dll/sb?DR=SB&amp;CP=1990s505#C05_P016" TargetMode="External"/><Relationship Id="rId27" Type="http://schemas.openxmlformats.org/officeDocument/2006/relationships/hyperlink" Target="https://esipa.cz/sbirka/sbsrv.dll/sb?DR=SB&amp;CP=1990s505#C05_P020" TargetMode="External"/><Relationship Id="rId28" Type="http://schemas.openxmlformats.org/officeDocument/2006/relationships/hyperlink" Target="https://esipa.cz/sbirka/sbsrv.dll/sb?DR=SB&amp;CP=1990s505#C05_P021" TargetMode="External"/><Relationship Id="rId29" Type="http://schemas.openxmlformats.org/officeDocument/2006/relationships/hyperlink" Target="https://esipa.cz/sbirka/sbsrv.dll/sb?DR=SB&amp;CP=1987s054" TargetMode="External"/><Relationship Id="rId30" Type="http://schemas.openxmlformats.org/officeDocument/2006/relationships/hyperlink" Target="https://esipa.cz/sbirka/sbsrv.dll/sb?DR=SB&amp;CP=1988s194" TargetMode="External"/><Relationship Id="rId31" Type="http://schemas.openxmlformats.org/officeDocument/2006/relationships/hyperlink" Target="https://esipa.cz/sbirka/sbsrv.dll/sb?DR=SB&amp;CP=1992s479" TargetMode="External"/><Relationship Id="rId32" Type="http://schemas.openxmlformats.org/officeDocument/2006/relationships/hyperlink" Target="https://esipa.cz/sbirka/sbsrv.dll/sb?DR=SB&amp;CP=1992s539" TargetMode="External"/><Relationship Id="rId33" Type="http://schemas.openxmlformats.org/officeDocument/2006/relationships/hyperlink" Target="https://esipa.cz/sbirka/sbsrv.dll/sb?DR=SB&amp;CP=1984s104" TargetMode="External"/><Relationship Id="rId34" Type="http://schemas.openxmlformats.org/officeDocument/2006/relationships/hyperlink" Target="https://esipa.cz/sbirka/sbsrv.dll/sb?DR=SB&amp;CP=1988s101" TargetMode="External"/><Relationship Id="rId35" Type="http://schemas.openxmlformats.org/officeDocument/2006/relationships/hyperlink" Target="https://esipa.cz/sbirka/sbsrv.dll/sb?DR=SB&amp;CP=1993s233" TargetMode="External"/><Relationship Id="rId36" Type="http://schemas.openxmlformats.org/officeDocument/2006/relationships/hyperlink" Target="https://esipa.cz/sbirka/sbsrv.dll/sb?DR=SB&amp;CP=1992s585" TargetMode="External"/><Relationship Id="rId37" Type="http://schemas.openxmlformats.org/officeDocument/2006/relationships/hyperlink" Target="https://esipa.cz/sbirka/sbsrv.dll/sb?DR=SB&amp;CP=1993s232" TargetMode="External"/><Relationship Id="rId38" Type="http://schemas.openxmlformats.org/officeDocument/2006/relationships/hyperlink" Target="https://esipa.cz/sbirka/sbsrv.dll/sb?DR=SB&amp;CP=1995s114" TargetMode="External"/><Relationship Id="rId39" Type="http://schemas.openxmlformats.org/officeDocument/2006/relationships/hyperlink" Target="https://esipa.cz/sbirka/sbsrv.dll/sb?DR=SB&amp;CP=2000s061" TargetMode="External"/><Relationship Id="rId40" Type="http://schemas.openxmlformats.org/officeDocument/2006/relationships/hyperlink" Target="https://esipa.cz/sbirka/sbsrv.dll/sb?DR=SB&amp;CP=32008R0765" TargetMode="External"/><Relationship Id="rId41" Type="http://schemas.openxmlformats.org/officeDocument/2006/relationships/hyperlink" Target="https://esipa.cz/sbirka/sbsrv.dll/sb?DR=SB&amp;CP=31993R0339" TargetMode="External"/><Relationship Id="rId42" Type="http://schemas.openxmlformats.org/officeDocument/2006/relationships/hyperlink" Target="https://esipa.cz/sbirka/sbsrv.dll/sb?DR=SB&amp;CP=1965s065" TargetMode="External"/><Relationship Id="rId43" Type="http://schemas.openxmlformats.org/officeDocument/2006/relationships/hyperlink" Target="https://esipa.cz/sbirka/sbsrv.dll/sb?DR=SB&amp;CP=2000s155" TargetMode="External"/><Relationship Id="rId44" Type="http://schemas.openxmlformats.org/officeDocument/2006/relationships/hyperlink" Target="https://esipa.cz/sbirka/sbsrv.dll/sb?DR=SB&amp;CP=32001L0095" TargetMode="External"/><Relationship Id="rId45" Type="http://schemas.openxmlformats.org/officeDocument/2006/relationships/hyperlink" Target="https://esipa.cz/sbirka/sbsrv.dll/sb?DR=SB&amp;CP=2000s258" TargetMode="External"/><Relationship Id="rId46" Type="http://schemas.openxmlformats.org/officeDocument/2006/relationships/hyperlink" Target="https://esipa.cz/sbirka/sbsrv.dll/sb?DR=SB&amp;CP=2001s254" TargetMode="External"/><Relationship Id="rId47" Type="http://schemas.openxmlformats.org/officeDocument/2006/relationships/hyperlink" Target="https://esipa.cz/sbirka/sbsrv.dll/sb?DR=SB&amp;CP=2001s274" TargetMode="External"/><Relationship Id="rId48" Type="http://schemas.openxmlformats.org/officeDocument/2006/relationships/hyperlink" Target="https://esipa.cz/sbirka/sbsrv.dll/sb?DR=SB&amp;CP=2001s056" TargetMode="External"/><Relationship Id="rId49" Type="http://schemas.openxmlformats.org/officeDocument/2006/relationships/hyperlink" Target="https://esipa.cz/sbirka/sbsrv.dll/sb?DR=SB&amp;CP=2000s071" TargetMode="External"/><Relationship Id="rId50" Type="http://schemas.openxmlformats.org/officeDocument/2006/relationships/hyperlink" Target="https://esipa.cz/sbirka/sbsrv.dll/sb?DR=SB&amp;CP=1988s061" TargetMode="External"/><Relationship Id="rId51" Type="http://schemas.openxmlformats.org/officeDocument/2006/relationships/hyperlink" Target="https://esipa.cz/sbirka/sbsrv.dll/sb?DR=SB&amp;CP=1994s266" TargetMode="External"/><Relationship Id="rId52" Type="http://schemas.openxmlformats.org/officeDocument/2006/relationships/hyperlink" Target="https://esipa.cz/sbirka/sbsrv.dll/sb?DR=SB&amp;CP=2014s064" TargetMode="External"/><Relationship Id="rId53" Type="http://schemas.openxmlformats.org/officeDocument/2006/relationships/hyperlink" Target="https://esipa.cz/sbirka/sbsrv.dll/note_4F" TargetMode="External"/><Relationship Id="rId54" Type="http://schemas.openxmlformats.org/officeDocument/2006/relationships/hyperlink" Target="https://esipa.cz/sbirka/sbsrv.dll/sb?DR=SB&amp;CP=2009s281" TargetMode="External"/><Relationship Id="rId55" Type="http://schemas.openxmlformats.org/officeDocument/2006/relationships/hyperlink" Target="https://esipa.cz/sbirka/sbsrv.dll/sb?DR=SB&amp;CP=32012R1025" TargetMode="External"/><Relationship Id="rId56" Type="http://schemas.openxmlformats.org/officeDocument/2006/relationships/hyperlink" Target="https://esipa.cz/sbirka/sbsrv.dll/sb?DR=SB&amp;CP=31989L0686" TargetMode="External"/><Relationship Id="rId57" Type="http://schemas.openxmlformats.org/officeDocument/2006/relationships/hyperlink" Target="https://esipa.cz/sbirka/sbsrv.dll/sb?DR=SB&amp;CP=31993L0015" TargetMode="External"/><Relationship Id="rId58" Type="http://schemas.openxmlformats.org/officeDocument/2006/relationships/hyperlink" Target="https://esipa.cz/sbirka/sbsrv.dll/sb?DR=SB&amp;CP=31994L0009" TargetMode="External"/><Relationship Id="rId59" Type="http://schemas.openxmlformats.org/officeDocument/2006/relationships/hyperlink" Target="https://esipa.cz/sbirka/sbsrv.dll/sb?DR=SB&amp;CP=31994L0025" TargetMode="External"/><Relationship Id="rId60" Type="http://schemas.openxmlformats.org/officeDocument/2006/relationships/hyperlink" Target="https://esipa.cz/sbirka/sbsrv.dll/sb?DR=SB&amp;CP=31995L0016" TargetMode="External"/><Relationship Id="rId61" Type="http://schemas.openxmlformats.org/officeDocument/2006/relationships/hyperlink" Target="https://esipa.cz/sbirka/sbsrv.dll/sb?DR=SB&amp;CP=31997L0023" TargetMode="External"/><Relationship Id="rId62" Type="http://schemas.openxmlformats.org/officeDocument/2006/relationships/hyperlink" Target="https://esipa.cz/sbirka/sbsrv.dll/sb?DR=SB&amp;CP=31998L0034" TargetMode="External"/><Relationship Id="rId63" Type="http://schemas.openxmlformats.org/officeDocument/2006/relationships/hyperlink" Target="https://esipa.cz/sbirka/sbsrv.dll/sb?DR=SB&amp;CP=32004L0022" TargetMode="External"/><Relationship Id="rId64" Type="http://schemas.openxmlformats.org/officeDocument/2006/relationships/hyperlink" Target="https://esipa.cz/sbirka/sbsrv.dll/sb?DR=SB&amp;CP=32007L0023" TargetMode="External"/><Relationship Id="rId65" Type="http://schemas.openxmlformats.org/officeDocument/2006/relationships/hyperlink" Target="https://esipa.cz/sbirka/sbsrv.dll/sb?DR=SB&amp;CP=32009L0023" TargetMode="External"/><Relationship Id="rId66" Type="http://schemas.openxmlformats.org/officeDocument/2006/relationships/hyperlink" Target="https://esipa.cz/sbirka/sbsrv.dll/sb?DR=SB&amp;CP=32009L0105" TargetMode="External"/><Relationship Id="rId67" Type="http://schemas.openxmlformats.org/officeDocument/2006/relationships/hyperlink" Target="https://esipa.cz/sbirka/sbsrv.dll/sb?DR=SB&amp;CP=31987D0095" TargetMode="External"/><Relationship Id="rId68" Type="http://schemas.openxmlformats.org/officeDocument/2006/relationships/hyperlink" Target="https://esipa.cz/sbirka/sbsrv.dll/sb?DR=SB&amp;CP=32006D1673" TargetMode="External"/><Relationship Id="rId69" Type="http://schemas.openxmlformats.org/officeDocument/2006/relationships/hyperlink" Target="https://esipa.cz/sbirka/sbsrv.dll/sb?DR=SB&amp;CP=32011R0305" TargetMode="External"/><Relationship Id="rId70" Type="http://schemas.openxmlformats.org/officeDocument/2006/relationships/hyperlink" Target="https://esipa.cz/sbirka/sbsrv.dll/sb?DR=SB&amp;CP=31989L0106" TargetMode="External"/><Relationship Id="rId71" Type="http://schemas.openxmlformats.org/officeDocument/2006/relationships/hyperlink" Target="https://esipa.cz/sbirka/sbsrv.dll/sb?DR=SB&amp;CP=31990L0385" TargetMode="External"/><Relationship Id="rId72" Type="http://schemas.openxmlformats.org/officeDocument/2006/relationships/hyperlink" Target="https://esipa.cz/sbirka/sbsrv.dll/sb?DR=SB&amp;CP=31993L0042" TargetMode="External"/><Relationship Id="rId73" Type="http://schemas.openxmlformats.org/officeDocument/2006/relationships/hyperlink" Target="https://esipa.cz/sbirka/sbsrv.dll/sb?DR=SB&amp;CP=2000s128" TargetMode="External"/><Relationship Id="rId74" Type="http://schemas.openxmlformats.org/officeDocument/2006/relationships/hyperlink" Target="https://esipa.cz/sbirka/sbsrv.dll/sb?DR=SB&amp;CP=2000s129" TargetMode="External"/><Relationship Id="rId75" Type="http://schemas.openxmlformats.org/officeDocument/2006/relationships/hyperlink" Target="https://esipa.cz/sbirka/sbsrv.dll/sb?DR=SB&amp;CP=2000s131" TargetMode="External"/><Relationship Id="rId76" Type="http://schemas.openxmlformats.org/officeDocument/2006/relationships/hyperlink" Target="https://esipa.cz/sbirka/sbsrv.dll/sb?DR=SB&amp;CP=1997s022" TargetMode="External"/><Relationship Id="rId77" Type="http://schemas.openxmlformats.org/officeDocument/2006/relationships/hyperlink" Target="https://esipa.cz/sbirka/sbsrv.dll/sb?DR=SB&amp;CP=2009s490" TargetMode="External"/><Relationship Id="rId78" Type="http://schemas.openxmlformats.org/officeDocument/2006/relationships/hyperlink" Target="https://esipa.cz/sbirka/sbsrv.dll/sb?DR=SB&amp;CP=2002s190" TargetMode="External"/><Relationship Id="rId79" Type="http://schemas.openxmlformats.org/officeDocument/2006/relationships/hyperlink" Target="https://esipa.cz/sbirka/sbsrv.dll/sb?DR=SB&amp;CP=2019s277" TargetMode="External"/><Relationship Id="rId80" Type="http://schemas.openxmlformats.org/officeDocument/2006/relationships/hyperlink" Target="https://esipa.cz/sbirka/sbsrv.dll/sb?DR=SB&amp;CP=2022s177" TargetMode="External"/><Relationship Id="rId81" Type="http://schemas.openxmlformats.org/officeDocument/2006/relationships/header" Target="header1.xm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277/2019 Sb. z 1. 1. 2024</dc:title>
  <dc:description>Zákon o technických požadavcích na výrobky a o změně a doplnění některých zákonů</dc:description>
  <dc:subject/>
  <cp:keywords/>
  <cp:category/>
  <cp:lastModifiedBy/>
  <dcterms:created xsi:type="dcterms:W3CDTF">2024-01-01T00:00:00+01:00</dcterms:created>
  <dcterms:modified xsi:type="dcterms:W3CDTF">2024-07-26T12:00:09+02:00</dcterms:modified>
</cp:coreProperties>
</file>

<file path=docProps/custom.xml><?xml version="1.0" encoding="utf-8"?>
<Properties xmlns="http://schemas.openxmlformats.org/officeDocument/2006/custom-properties" xmlns:vt="http://schemas.openxmlformats.org/officeDocument/2006/docPropsVTypes"/>
</file>