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ohrozit zdraví nebo bezpečnost osob, majetek nebo přírodní prostředí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výrobky, které by mohly ohrozit oprávněný zájem,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právnických nebo fyzických osob pověřených k činnostem podle tohoto zákona, které souvisí s tvorbou a uplatňováním českých technických norem (dále jen „normy“) nebo se státním zkušebnictvím.</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výrobek poprvé přechází úplatně nebo bezúplatně z fáze výroby nebo dovozu do fáze distribuce jako zboží určené k prodeji nebo k uvedení do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dovozcem fyzická nebo právnická osoba, která uvede na trh výrobek z jiného státu nebo uvedení takového výrobku na trh zprostředkuje,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distributorem fyzická nebo právnická osoba, která výrobky prodává, jejich prodej zprostředkovává nebo jiným způsobem je poskytuje uživatelům, i když svou činností vlastnosti výrobků přímo neovlivňuje (dále jen „distribuuje“),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technickými požadavky na výrobek vlastnosti výrobku z hlediska oprávněného zájmu, rozměrů, funkčnosti, jakosti, včetně požadavků na jeho název, pod kterým je prodáván, úprava názvosloví, znaků, zkoušení výrobku a zkušebních metod, balení, značení nebo označování výrobku a postupů pro posuzování shody výrobku s právními předpisy nebo s normami.</w:t>
      </w:r>
    </w:p>
    <w:p>
      <w:pPr>
        <w:pStyle w:val="Heading2"/>
      </w:pPr>
      <w:r>
        <w:rPr>
          <w:b/>
          <w:bCs/>
        </w:rPr>
        <w:t xml:space="preserve">Hlava II</w:t>
      </w:r>
      <w:r>
        <w:rPr>
          <w:rStyle w:val="hidden"/>
        </w:rPr>
        <w:t xml:space="preserve"> -</w:t>
      </w:r>
      <w:br/>
      <w:r>
        <w:rPr>
          <w:caps/>
        </w:rPr>
        <w:t xml:space="preserve">Technické předpisy, normy a povinnosti výrobců dovozců a distributorů</w:t>
      </w:r>
    </w:p>
    <w:p>
      <w:pPr>
        <w:pStyle w:val="Heading3"/>
      </w:pPr>
      <w:r>
        <w:rPr>
          <w:b/>
          <w:bCs/>
        </w:rPr>
        <w:t xml:space="preserve">§ 3</w:t>
      </w:r>
      <w:r>
        <w:rPr>
          <w:rStyle w:val="hidden"/>
        </w:rPr>
        <w:t xml:space="preserve"> -</w:t>
      </w:r>
      <w:br/>
      <w:r>
        <w:rPr/>
        <w:t xml:space="preserve">Technické předpisy</w:t>
      </w:r>
    </w:p>
    <w:p>
      <w:pPr>
        <w:ind w:left="0" w:right="0"/>
      </w:pPr>
      <w:r>
        <w:rPr/>
        <w:t xml:space="preserve">Technickým předpisem pro účely tohoto zákona je právní předpis, vyhlášený ve Sbírce zákonů České republiky,</w:t>
      </w:r>
      <w:r>
        <w:rPr>
          <w:vertAlign w:val="superscript"/>
        </w:rPr>
        <w:t xml:space="preserve">1</w:t>
      </w:r>
      <w:r>
        <w:rPr/>
        <w:t xml:space="preserve">)</w:t>
      </w:r>
      <w:r>
        <w:rPr/>
        <w:t xml:space="preserve"> který obsahuje technické požadavky na výrobky nebo s nimi spojené závazné výrobní, případně kontrolní, evidenční nebo jiné administrativní postupy a metody.</w:t>
      </w:r>
    </w:p>
    <w:p>
      <w:pPr>
        <w:pStyle w:val="Heading3"/>
      </w:pPr>
      <w:r>
        <w:rPr>
          <w:b/>
          <w:bCs/>
        </w:rPr>
        <w:t xml:space="preserve">§ 4</w:t>
      </w:r>
      <w:r>
        <w:rPr>
          <w:rStyle w:val="hidden"/>
        </w:rPr>
        <w:t xml:space="preserve"> -</w:t>
      </w:r>
      <w:br/>
      <w:r>
        <w:rPr/>
        <w:t xml:space="preserve">Normy</w:t>
      </w:r>
    </w:p>
    <w:p>
      <w:pPr>
        <w:ind w:left="0" w:right="0"/>
      </w:pPr>
      <w:r>
        <w:rPr>
          <w:b/>
          <w:bCs/>
        </w:rPr>
        <w:t xml:space="preserve">(1)</w:t>
      </w:r>
      <w:r>
        <w:rPr/>
        <w:t xml:space="preserve"> Norma je dokument vytvořený podle tohoto zákona a označený písmenným označením ČSN, jehož vydání bylo oznámeno ve Věstníku Úřadu pro technickou normalizaci, metrologii a státní zkušebnictví (dále jen „Věstník Úřadu“).</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Norma se stává harmonizovanou normou, je-li tak určena pro splnění technických požadavků na výrobky vyplývajících z technického předpisu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Úřadem pro technickou normalizaci, metrologii a státní zkušebnictví (dále jen „Úřad“) pro splnění technických požadavků na výrobky vyplývajících z nařízení vlády, vydaného podle tohoto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ministerstvem nebo jiným ústředním správním úřadem, v jehož působnosti je dozor nad dodržováním příslušného technického předpisu v ostatních případech - ministerstvo nebo jiný ústřední správní úřad tuto skutečnost bezodkladně oznámí Úřadu.</w:t>
      </w:r>
    </w:p>
    <w:p>
      <w:pPr>
        <w:ind w:left="0" w:right="0"/>
      </w:pPr>
      <w:r>
        <w:rPr>
          <w:b/>
          <w:bCs/>
        </w:rPr>
        <w:t xml:space="preserve">(5)</w:t>
      </w:r>
      <w:r>
        <w:rPr/>
        <w:t xml:space="preserve"> Úřad oznamuje ve Věstníku Úřadu určení harmonizované normy s uvedením technického předpisu, k němuž se vztahuje.</w:t>
      </w:r>
    </w:p>
    <w:p>
      <w:pPr>
        <w:ind w:left="0" w:right="0"/>
      </w:pPr>
      <w:r>
        <w:rPr>
          <w:b/>
          <w:bCs/>
        </w:rPr>
        <w:t xml:space="preserve">(6)</w:t>
      </w:r>
      <w:r>
        <w:rPr/>
        <w:t xml:space="preserve"> Splnění harmonizované normy se v rozsahu jejího obsahu považuje za splnění požadavků stanovených technickým předpisem, k němuž se harmonizovaná norma vztahuje.</w:t>
      </w:r>
    </w:p>
    <w:p>
      <w:pPr>
        <w:pStyle w:val="Heading3"/>
      </w:pPr>
      <w:r>
        <w:rPr>
          <w:b/>
          <w:bCs/>
        </w:rPr>
        <w:t xml:space="preserve">§ 5</w:t>
      </w:r>
      <w:r>
        <w:rPr>
          <w:rStyle w:val="hidden"/>
        </w:rPr>
        <w:t xml:space="preserve"> -</w:t>
      </w:r>
      <w:br/>
      <w:r>
        <w:rPr/>
        <w:t xml:space="preserve">Zabezpečení tvorby norem</w:t>
      </w:r>
    </w:p>
    <w:p>
      <w:pPr>
        <w:ind w:left="0" w:right="0"/>
      </w:pPr>
      <w:r>
        <w:rPr>
          <w:b/>
          <w:bCs/>
        </w:rPr>
        <w:t xml:space="preserve">(1)</w:t>
      </w:r>
      <w:r>
        <w:rPr/>
        <w:t xml:space="preserve"> Tvorbu a vydávání norem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norem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norem zabezpečeny pověřenou právnickou osobou, zabezpečuje plnění jejích úkolů Úřad.</w:t>
      </w:r>
    </w:p>
    <w:p>
      <w:pPr>
        <w:ind w:left="0" w:right="0"/>
      </w:pPr>
      <w:r>
        <w:rPr>
          <w:b/>
          <w:bCs/>
        </w:rPr>
        <w:t xml:space="preserve">(7)</w:t>
      </w:r>
      <w:r>
        <w:rPr/>
        <w:t xml:space="preserve"> Náklady na tvorbu norem hradí ten, kdo požaduje jejich zpracování. Náklady na tvorbu norem, především harmonizovaných norem,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Normy vydané na jakémkoliv nosiči smějí být rozmnožovány a rozšiřovány jen se souhlasem právnické osoby pověřené jejich tvorbou a vydáváním nebo za podmínek stanovených v odstavci 6 se souhlasem Úřadu.</w:t>
      </w:r>
    </w:p>
    <w:p>
      <w:pPr>
        <w:pStyle w:val="Heading3"/>
      </w:pPr>
      <w:r>
        <w:rPr>
          <w:b/>
          <w:bCs/>
        </w:rPr>
        <w:t xml:space="preserve">§ 6</w:t>
      </w:r>
      <w:r>
        <w:rPr>
          <w:rStyle w:val="hidden"/>
        </w:rPr>
        <w:t xml:space="preserve"> -</w:t>
      </w:r>
      <w:br/>
      <w:r>
        <w:rPr/>
        <w:t xml:space="preserve">Podmínky tvorby a vydávání norem</w:t>
      </w:r>
    </w:p>
    <w:p>
      <w:pPr>
        <w:ind w:left="0" w:right="0"/>
      </w:pPr>
      <w:r>
        <w:rPr/>
        <w:t xml:space="preserve">Při tvorbě a vydávání norem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norem a vydaných normách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normy s každým, kdo se ve lhůtě stanovené ve zveřejněném oznámení o zahájení zpracování návrhu normy přihlásí u osoby uvedené v tomto oznámení, nebo s každým, kdo zašle své stanovisko ke zveřejněnému návrhu normy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řádná distribuce vydaných norem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Informaci o návrhu technického předpisu, jeho změny nebo doplnění zasílaného k zaujetí stanoviska ministerstvům, jiným ústředním správním úřadům a České národní bance, k němuž se vztahuje informační povinnost vyplývající z mezinárodních smluv, předávají ministerstva, jiné ústřední správní úřady a Česká národní banka Úřadu. Obdobně postupuje vláda, pokud se vyjadřuje k návrhům zákonů, jejich změn nebo doplnění, jedná-li se o návrhy technických předpisů.</w:t>
      </w:r>
    </w:p>
    <w:p>
      <w:pPr>
        <w:ind w:left="0" w:right="0"/>
      </w:pPr>
      <w:r>
        <w:rPr>
          <w:b/>
          <w:bCs/>
        </w:rPr>
        <w:t xml:space="preserve">(2)</w:t>
      </w:r>
      <w:r>
        <w:rPr/>
        <w:t xml:space="preserve"> Pokud tak stanoví mezinárodní smlouva, nesmí být návrh technického předpisu předložen ke schválení před uplynutím jí stanovené lhůty pro podání připomínek.</w:t>
      </w:r>
    </w:p>
    <w:p>
      <w:pPr>
        <w:ind w:left="0" w:right="0"/>
      </w:pPr>
      <w:r>
        <w:rPr>
          <w:b/>
          <w:bCs/>
        </w:rPr>
        <w:t xml:space="preserve">(3)</w:t>
      </w:r>
      <w:r>
        <w:rPr/>
        <w:t xml:space="preserve"> Úřad jako informační místo zabezpečuje v rozsahu stanoveném mezinárodními smlouvami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o návrzích technických předpisů, norem a postupů pro posuzování shody do zahraničí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obdobných zahraničních návrzích uveřejněním ve Věstníku Úřadu.</w:t>
      </w:r>
    </w:p>
    <w:p>
      <w:pPr>
        <w:pStyle w:val="Heading3"/>
      </w:pPr>
      <w:r>
        <w:rPr>
          <w:b/>
          <w:bCs/>
        </w:rPr>
        <w:t xml:space="preserve">§ 8</w:t>
      </w:r>
      <w:r>
        <w:rPr>
          <w:rStyle w:val="hidden"/>
        </w:rPr>
        <w:t xml:space="preserve"> -</w:t>
      </w:r>
      <w:br/>
      <w:r>
        <w:rPr/>
        <w:t xml:space="preserve">Povinnosti výrobců, dovozců a distributorů při uvádění výrobků na trh</w:t>
      </w:r>
    </w:p>
    <w:p>
      <w:pPr>
        <w:ind w:left="0" w:right="0"/>
      </w:pPr>
      <w:r>
        <w:rPr>
          <w:b/>
          <w:bCs/>
        </w:rPr>
        <w:t xml:space="preserve">(1)</w:t>
      </w:r>
      <w:r>
        <w:rPr/>
        <w:t xml:space="preserve"> Výrobce a dovozce je povinen uvádět na trh jen bezpečné výrobky.</w:t>
      </w:r>
    </w:p>
    <w:p>
      <w:pPr>
        <w:ind w:left="0" w:right="0"/>
      </w:pPr>
      <w:r>
        <w:rPr>
          <w:b/>
          <w:bCs/>
        </w:rPr>
        <w:t xml:space="preserve">(2)</w:t>
      </w:r>
      <w:r>
        <w:rPr/>
        <w:t xml:space="preserve"> Bezpečným výrobkem je výrobek, který za běžných nebo rozumně předvídatelných podmínek užití nepředstavuje po dobu stanovené nebo obvyklé použitelnosti žádné nebezpečí nebo jeho užití představuje pouze minimální nebezpečí, které lze považovat za přijatelné při užívání výrobku vzhledem k odpovídající vysoké úrovni ochrany oprávněného zájmu.</w:t>
      </w:r>
    </w:p>
    <w:p>
      <w:pPr>
        <w:ind w:left="0" w:right="0"/>
      </w:pPr>
      <w:r>
        <w:rPr>
          <w:b/>
          <w:bCs/>
        </w:rPr>
        <w:t xml:space="preserve">(3)</w:t>
      </w:r>
      <w:r>
        <w:rPr/>
        <w:t xml:space="preserve"> Při posuzování bezpečnosti výrobků se podle povahy výrobků sledují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vlastnosti výrobku, včetně jeho životnosti, složení, balení a návodů pro jeho montáž a uvedení do provozu, užití (včetně vymezení prostředí pro užití), údržbu a likvidaci, které musí být uvedeny v českém jazyce,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vlivy výrobku na další výrobky, jestliže lze důvodně předpokládat, že výrobek bude užíván s dalším výrobkem nebo výrobky,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předvádění výrobku, jeho označení a návody pro použití a likvidaci výrobku a jakékoliv další údaje a informace poskytnuté výrobcem,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kategorie uživatelů, kteří mohou být vážně ohroženi při užití výrobku, zejména děti.</w:t>
      </w:r>
    </w:p>
    <w:p>
      <w:pPr>
        <w:ind w:left="0" w:right="0"/>
      </w:pPr>
      <w:r>
        <w:rPr>
          <w:b/>
          <w:bCs/>
        </w:rPr>
        <w:t xml:space="preserve">(4)</w:t>
      </w:r>
      <w:r>
        <w:rPr/>
        <w:t xml:space="preserve"> Možnost dosažení vyšší technické úrovně nebo dostupnost jiných výrobků lépe uspokojujících oprávněný zájem nesmí být důvodem pro to, aby výrobek byl považován za výrobek ohrožující oprávněný zájem.</w:t>
      </w:r>
    </w:p>
    <w:p>
      <w:pPr>
        <w:ind w:left="0" w:right="0"/>
      </w:pPr>
      <w:r>
        <w:rPr>
          <w:b/>
          <w:bCs/>
        </w:rPr>
        <w:t xml:space="preserve">(5)</w:t>
      </w:r>
      <w:r>
        <w:rPr/>
        <w:t xml:space="preserve"> Za bezpečný se považuje výrobek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splňující požadavky příslušného technického předpisu,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pro něj technický předpis neexistuje, buď splňující požadavky norem, anebo odpovídající stavu vědeckých a technických poznatků známých v době jeho uvedení na trh.</w:t>
      </w:r>
    </w:p>
    <w:p>
      <w:pPr>
        <w:jc w:val="center"/>
        <w:ind w:left="0" w:right="0"/>
      </w:pPr>
      <w:r>
        <w:rPr>
          <w:b/>
          <w:bCs/>
        </w:rPr>
        <w:t xml:space="preserve">(6)</w:t>
      </w:r>
      <w:r>
        <w:rPr/>
        <w:t xml:space="preserve"> Dbát o uvádění bezpečných výrobků na trh je též povinen distributor, který zejména nesmí distribuovat výrobky, o kterých na základě informací, které má, a svých odborných znalostí ví nebo může předpokládat, že tomuto požadavku neodpovídají.</w:t>
      </w:r>
    </w:p>
    <w:p>
      <w:pPr>
        <w:ind w:left="0" w:right="0"/>
      </w:pPr>
      <w:r>
        <w:rPr>
          <w:b/>
          <w:bCs/>
        </w:rPr>
        <w:t xml:space="preserve">(7)</w:t>
      </w:r>
      <w:r>
        <w:rPr/>
        <w:t xml:space="preserve"> Výrobce, dovozce nebo distributor je dále podle povahy výrobků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uživatelům informace, které jim umožní posoudit obvyklé nebo rozumně předvídatelné nebezpečí spojené s užíváním výrobků, které by mohlo ohrozit oprávněný zájem po dobu předpokládané životnosti výrobku, pokud toto nebezpečí není zřejmé bez odpovídajícího upozornění. Tato informace nezbavuje žádnou osobu povinnosti dodržovat požadavky na bezpečnost výrobků stanovené v právních předpisech,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učinit opatření, aby jednotlivé výrobky nebo výrobní partie výrobků, které mohou představovat možné ohrožení oprávněného zájmu, byly snadno identifikovatelné.</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právnickými nebo fyzickými osobami pověřenými podle tohoto zákona, jejichž cílem je zabezpečit u výrobků stanovených podle tohoto zákona posouzení shody s požadavky technických předpisů.</w:t>
      </w:r>
    </w:p>
    <w:p>
      <w:pPr>
        <w:pStyle w:val="Heading3"/>
      </w:pPr>
      <w:r>
        <w:rPr>
          <w:b/>
          <w:bCs/>
        </w:rPr>
        <w:t xml:space="preserve">§ 10</w:t>
      </w:r>
      <w:r>
        <w:rPr>
          <w:rStyle w:val="hidden"/>
        </w:rPr>
        <w:t xml:space="preserve"> -</w:t>
      </w:r>
      <w:br/>
      <w:r>
        <w:rPr/>
        <w:t xml:space="preserve">Certifikace</w:t>
      </w:r>
    </w:p>
    <w:p>
      <w:pPr>
        <w:ind w:left="0" w:right="0"/>
      </w:pPr>
      <w:r>
        <w:rPr/>
        <w:t xml:space="preserve">Certifikace podle tohoto zákona je činnost nezávislé autorizované nebo akreditované osoby, která vydáním certifikátu osvědčí, že výrobek nebo činnosti s výrobou související jsou v souladu s technickými požadavky na výrobky.</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stanovených podle tohoto zákona (dále jen „autorizovaná osoba“). Autorizaci pro činnost podle tohoto zákona uděluje na žádost rozhodnutím Úřad po dohodě s ministerstvy a jinými ústředními správními úřady, jejichž pravomoci se týká posuzování stanovených výrobků prováděné autorizovanými osobami. Nedojde-li k takové dohodě, rozhodne o autorizaci Úřad, jehož rozhodnutí může na základě podnětu dotčeného ministerstva nebo jiného ústředního správního úřadu zrušit vláda. Úřad v rozhodnutí o autorizaci stanoví podmínky pro dodržování jednotného postupu autorizovaných osob při jejich činnosti a vymezí jeho rozsah.</w:t>
      </w:r>
    </w:p>
    <w:p>
      <w:pPr>
        <w:ind w:left="0" w:right="0"/>
      </w:pPr>
      <w:r>
        <w:rPr>
          <w:b/>
          <w:bCs/>
        </w:rPr>
        <w:t xml:space="preserve">(2)</w:t>
      </w:r>
      <w:r>
        <w:rPr/>
        <w:t xml:space="preserve"> Úřad může vydat rozhodnutí o autorizaci, pokud žadatel o autorizaci splňuje všechny podmínky k řádnému zajištění činnosti při posuzování shody,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 Na udělení autorizace není právní nárok.</w:t>
      </w:r>
    </w:p>
    <w:p>
      <w:pPr>
        <w:ind w:left="0" w:right="0"/>
      </w:pPr>
      <w:r>
        <w:rPr>
          <w:b/>
          <w:bCs/>
        </w:rPr>
        <w:t xml:space="preserve">(3)</w:t>
      </w:r>
      <w:r>
        <w:rPr/>
        <w:t xml:space="preserve"> Úřad kontroluje, zda autorizované osoby dodržují ustanovení tohoto zákona a podmínky uvedené v rozhodnutí o autorizaci. Pověření zaměstnanci Úřadu jsou oprávněni vstupovat do objektů autorizovaných osob a vyžadovat předložení dokumentace související s činností autorizované osoby. Zaměstnanci autorizovaných osob jsou tuto dokumentaci povinni na žádost předložit.</w:t>
      </w:r>
    </w:p>
    <w:p>
      <w:pPr>
        <w:ind w:left="0" w:right="0"/>
      </w:pPr>
      <w:r>
        <w:rPr>
          <w:b/>
          <w:bCs/>
        </w:rPr>
        <w:t xml:space="preserve">(4)</w:t>
      </w:r>
      <w:r>
        <w:rPr/>
        <w:t xml:space="preserve"> Neplní-li autorizovaná osoba podmínky stanovené v tomto zákoně a v rozhodnutí o autorizaci nebo pokud o to požádá, Úřad po projednání se zúčastněnými ministerstvy a jinými ústředními správními úřady rozhodnutí o autorizaci změní nebo zruší.</w:t>
      </w:r>
    </w:p>
    <w:p>
      <w:pPr>
        <w:ind w:left="0" w:right="0"/>
      </w:pPr>
      <w:r>
        <w:rPr>
          <w:b/>
          <w:bCs/>
        </w:rPr>
        <w:t xml:space="preserve">(5)</w:t>
      </w:r>
      <w:r>
        <w:rPr/>
        <w:t xml:space="preserve"> Autorizace, jejich rozsah a změny se zveřejňují oznámením ve Věstníku Úřadu.</w:t>
      </w:r>
    </w:p>
    <w:p>
      <w:pPr>
        <w:ind w:left="0" w:right="0"/>
      </w:pPr>
      <w:r>
        <w:rPr>
          <w:b/>
          <w:bCs/>
        </w:rPr>
        <w:t xml:space="preserve">(6)</w:t>
      </w:r>
      <w:r>
        <w:rPr/>
        <w:t xml:space="preserve"> Není-li pro posouzení shody stanoveného výrobku určena autorizovaná osoba, zabezpečí posouzení shody Úřad.</w:t>
      </w:r>
    </w:p>
    <w:p>
      <w:pPr>
        <w:pStyle w:val="Heading3"/>
      </w:pPr>
      <w:r>
        <w:rPr>
          <w:b/>
          <w:bCs/>
        </w:rPr>
        <w:t xml:space="preserve">§ 12</w:t>
      </w:r>
      <w:r>
        <w:rPr>
          <w:rStyle w:val="hidden"/>
        </w:rPr>
        <w:t xml:space="preserve"> -</w:t>
      </w:r>
      <w:br/>
      <w:r>
        <w:rPr/>
        <w:t xml:space="preserve">Posuzování shody výrobků</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jejich vlastností s požadavky technických předpisů (dále jen „stanovené výrobky“),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tyto výrobky, pokud nejsou upraveny zvláštními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musí být při uvádění na trh označeny českou značkou shody nebo jinou nařízením vlády stanovenou značkou, pokud to vyplývá z mezinárodní smlouvy, kterou je Česká republika vázána.</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Českou značku shody, která vyjadřuje, že stanovený výrobek odpovídá stanoveným požadavkům a že při posuzování shody byly dodrženy podmínky stanovené tímto zákonem, tvoří písmena CCZ. Vláda nařízením upraví grafickou podobu české značky shody, její provedení a umístění na výrobku, jeho obalu nebo v průvodní dokumentaci.</w:t>
      </w:r>
    </w:p>
    <w:p>
      <w:pPr>
        <w:ind w:left="0" w:right="0"/>
      </w:pPr>
      <w:r>
        <w:rPr>
          <w:b/>
          <w:bCs/>
        </w:rPr>
        <w:t xml:space="preserve">(4)</w:t>
      </w:r>
      <w:r>
        <w:rPr/>
        <w:t xml:space="preserve"> Vláda upraví nařízením pro jednotlivé skupiny stanovených výrobků, v závislosti na jejich technické složitosti a míře možného nebezpečí spojeného s jejich užíváním, podmínky pro uvádění výrobků na trh,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 popřípadě akreditovanou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0" w:right="0"/>
      </w:pPr>
      <w:r>
        <w:rPr>
          <w:b/>
          <w:bCs/>
        </w:rPr>
        <w:t xml:space="preserve">(5)</w:t>
      </w:r>
      <w:r>
        <w:rPr/>
        <w:t xml:space="preserve"> Autorizovaná osoba je povinna provádět technická zjištění objektivně s vynaložením odborné péče na úrovni poznatků vědy a techniky známých v době, kdy jsou prováděna.</w:t>
      </w:r>
    </w:p>
    <w:p>
      <w:pPr>
        <w:ind w:left="0" w:right="0"/>
      </w:pPr>
      <w:r>
        <w:rPr>
          <w:b/>
          <w:bCs/>
        </w:rPr>
        <w:t xml:space="preserve">(6)</w:t>
      </w:r>
      <w:r>
        <w:rPr/>
        <w:t xml:space="preserve"> Náklady spojené s činností autorizované osoby při posuzování shody nese výrobce nebo dovozce. Cena za tyto výkony se sjednává podle zvláštního předpisu.</w:t>
      </w:r>
      <w:r>
        <w:rPr>
          <w:vertAlign w:val="superscript"/>
        </w:rPr>
        <w:t xml:space="preserve">2</w:t>
      </w:r>
      <w:r>
        <w:rPr/>
        <w:t xml:space="preserve">)</w:t>
      </w:r>
    </w:p>
    <w:p>
      <w:pPr>
        <w:ind w:left="0" w:right="0"/>
      </w:pPr>
      <w:r>
        <w:rPr>
          <w:b/>
          <w:bCs/>
        </w:rPr>
        <w:t xml:space="preserve">(7)</w:t>
      </w:r>
      <w:r>
        <w:rPr/>
        <w:t xml:space="preserve"> Ustanovení předchozích odstavců se nepoužijí pro výrobky, u kterých zvláštní zákon stanoví jinak.</w:t>
      </w:r>
      <w:r>
        <w:rPr>
          <w:vertAlign w:val="superscript"/>
        </w:rPr>
        <w:t xml:space="preserve">3</w:t>
      </w:r>
      <w:r>
        <w:rPr/>
        <w:t xml:space="preserve">)</w:t>
      </w:r>
    </w:p>
    <w:p>
      <w:pPr>
        <w:pStyle w:val="Heading3"/>
      </w:pPr>
      <w:r>
        <w:rPr>
          <w:b/>
          <w:bCs/>
        </w:rPr>
        <w:t xml:space="preserve">§ 13</w:t>
      </w:r>
      <w:r>
        <w:rPr>
          <w:rStyle w:val="hidden"/>
        </w:rPr>
        <w:t xml:space="preserve"> -</w:t>
      </w:r>
      <w:br/>
      <w:r>
        <w:rPr/>
        <w:t xml:space="preserve">Prohlášení o shodě</w:t>
      </w:r>
    </w:p>
    <w:p>
      <w:pPr>
        <w:ind w:left="0" w:right="0"/>
      </w:pPr>
      <w:r>
        <w:rPr>
          <w:b/>
          <w:bCs/>
        </w:rPr>
        <w:t xml:space="preserve">(1)</w:t>
      </w:r>
      <w:r>
        <w:rPr/>
        <w:t xml:space="preserve"> Stanovené výrobky mohou výrobci nebo dovozci uvést na trh jen po posouzení shody jejich vlastností s požadavky na bezpečnost výrobků stanovenými tímto zákonem a technickými předpisy (dále jen „posouzení shody“) způsobem odpovídajícím stanoveným postupům posuzování shody.</w:t>
      </w:r>
    </w:p>
    <w:p>
      <w:pPr>
        <w:ind w:left="0" w:right="0"/>
      </w:pPr>
      <w:r>
        <w:rPr>
          <w:b/>
          <w:bCs/>
        </w:rPr>
        <w:t xml:space="preserve">(2)</w:t>
      </w:r>
      <w:r>
        <w:rPr/>
        <w:t xml:space="preserve"> Výrobce nebo dovozce stanoveného výrobku je povinen před uvedením výrobku na trh vydat písemné prohlášení o shodě výrobku s technickými předpisy a o dodržení stanoveného postupu posouzení shody (dále jen „prohlášení o shodě“). Náležitosti prohlášení o shodě stanoví vláda nařízením.</w:t>
      </w:r>
    </w:p>
    <w:p>
      <w:pPr>
        <w:ind w:left="0" w:right="0"/>
      </w:pPr>
      <w:r>
        <w:rPr>
          <w:b/>
          <w:bCs/>
        </w:rPr>
        <w:t xml:space="preserve">(3)</w:t>
      </w:r>
      <w:r>
        <w:rPr/>
        <w:t xml:space="preserve"> Výrobce nebo dovozce je oprávněn označit stanovený výrobek, o kterém bylo vydáno prohlášení o shodě, českou značkou shody. Pokud je to stanoveno nařízením vlády vymezujícím stanovené výrobky, je výrobce nebo dovozce povinen každý výrobek označit českou značkou shody. Jestliže je posuzování shody vázáno na posouzení autorizovanou osobou, připojuje se její identifikační číslo k české značce shody.</w:t>
      </w:r>
    </w:p>
    <w:p>
      <w:pPr>
        <w:ind w:left="0" w:right="0"/>
      </w:pPr>
      <w:r>
        <w:rPr>
          <w:b/>
          <w:bCs/>
        </w:rPr>
        <w:t xml:space="preserve">(4)</w:t>
      </w:r>
      <w:r>
        <w:rPr/>
        <w:t xml:space="preserve"> Doklady o použitém způsobu posouzení shody a prohlášení o shodě a podklady k němu v rozsahu stanoveném nařízeními vlády je výrobce nebo dovozce povinen uchovat na území České republiky a kdykoliv poskytnout na vyžádání orgánu dozoru do deseti let od ukončení výroby, dovozu nebo uvedení na trh. Tato doba může být nařízením vlády upravujícím stanovené výrobky určena odchylně.</w:t>
      </w:r>
    </w:p>
    <w:p>
      <w:pPr>
        <w:ind w:left="0" w:right="0"/>
      </w:pPr>
      <w:r>
        <w:rPr>
          <w:b/>
          <w:bCs/>
        </w:rPr>
        <w:t xml:space="preserve">(5)</w:t>
      </w:r>
      <w:r>
        <w:rPr/>
        <w:t xml:space="preserve"> Distributor nesmí distribuovat stanovené výrobky, u kterých nemá písemné ujištění o tom, že výrobce nebo dovozce vydal prohlášení o shodě. Toto písemné ujištění je distributor povinen každému na jeho žádost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k nahlédnutí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náklady žadatele nejdéle do 20 dnů vydat distributorem potvrzenou kopii.</w:t>
      </w:r>
    </w:p>
    <w:p>
      <w:pPr>
        <w:ind w:left="0" w:right="0"/>
      </w:pPr>
      <w:r>
        <w:rPr>
          <w:b/>
          <w:bCs/>
        </w:rPr>
        <w:t xml:space="preserve">(6)</w:t>
      </w:r>
      <w:r>
        <w:rPr/>
        <w:t xml:space="preserve"> Prohlášení o shodě nezbavuje výrobce a dovozce odpovědnosti za vady výrobků ani za škody jimi způsobené.</w:t>
      </w:r>
    </w:p>
    <w:p>
      <w:pPr>
        <w:pStyle w:val="Heading3"/>
      </w:pPr>
      <w:r>
        <w:rPr>
          <w:b/>
          <w:bCs/>
        </w:rPr>
        <w:t xml:space="preserve">§ 14</w:t>
      </w:r>
      <w:r>
        <w:rPr>
          <w:rStyle w:val="hidden"/>
        </w:rPr>
        <w:t xml:space="preserve"> -</w:t>
      </w:r>
      <w:br/>
      <w:r>
        <w:rPr/>
        <w:t xml:space="preserve">Akreditace</w:t>
      </w:r>
    </w:p>
    <w:p>
      <w:pPr>
        <w:ind w:left="0" w:right="0"/>
      </w:pPr>
      <w:r>
        <w:rPr>
          <w:b/>
          <w:bCs/>
        </w:rPr>
        <w:t xml:space="preserve">(1)</w:t>
      </w:r>
      <w:r>
        <w:rPr/>
        <w:t xml:space="preserve"> Akreditací se pro účely tohoto zákona rozumí postup, na jehož základě se vydává osvědčení o tom, že právnická nebo fyzická osoba, která o ni požádala, je způsobilá ve vymezeném rozsahu provádět zkoušky výrobků, kalibraci měřidel a certifikační nebo jinou obdobnou technickou činnost.</w:t>
      </w:r>
    </w:p>
    <w:p>
      <w:pPr>
        <w:ind w:left="0" w:right="0"/>
      </w:pPr>
      <w:r>
        <w:rPr>
          <w:b/>
          <w:bCs/>
        </w:rPr>
        <w:t xml:space="preserve">(2)</w:t>
      </w:r>
      <w:r>
        <w:rPr/>
        <w:t xml:space="preserve"> Náklady spojené s akreditací hradí žadatel o akreditaci. Cena se sjednává podle zvláštního předpisu.</w:t>
      </w:r>
      <w:r>
        <w:rPr>
          <w:vertAlign w:val="superscript"/>
        </w:rPr>
        <w:t xml:space="preserve">2</w:t>
      </w:r>
      <w:r>
        <w:rPr/>
        <w:t xml:space="preserve">)</w:t>
      </w:r>
    </w:p>
    <w:p>
      <w:pPr>
        <w:ind w:left="0" w:right="0"/>
      </w:pPr>
      <w:r>
        <w:rPr>
          <w:b/>
          <w:bCs/>
        </w:rPr>
        <w:t xml:space="preserve">(3)</w:t>
      </w:r>
      <w:r>
        <w:rPr/>
        <w:t xml:space="preserve"> Provádění akreditace v rozsahu vymezeném tímto zákonem zaručuje stát.</w:t>
      </w:r>
    </w:p>
    <w:p>
      <w:pPr>
        <w:pStyle w:val="Heading3"/>
      </w:pPr>
      <w:r>
        <w:rPr>
          <w:b/>
          <w:bCs/>
        </w:rPr>
        <w:t xml:space="preserve">§ 15</w:t>
      </w:r>
      <w:r>
        <w:rPr>
          <w:rStyle w:val="hidden"/>
        </w:rPr>
        <w:t xml:space="preserve"> -</w:t>
      </w:r>
      <w:br/>
      <w:r>
        <w:rPr/>
        <w:t xml:space="preserve">Podmínky pro pověření k provádění akreditace</w:t>
      </w:r>
    </w:p>
    <w:p>
      <w:pPr>
        <w:ind w:left="0" w:right="0"/>
      </w:pPr>
      <w:r>
        <w:rPr>
          <w:b/>
          <w:bCs/>
        </w:rPr>
        <w:t xml:space="preserve">(1)</w:t>
      </w:r>
      <w:r>
        <w:rPr/>
        <w:t xml:space="preserve"> Ministerstvo může svým rozhodnutím pověřit prováděním akreditace právnickou osobu (dále jen „akreditující osoba“). Toto pověření je nepřevoditelné. Po dobu, po kterou je toto rozhodnutí platné, nesmí být touto činností pověřena jiná právnická osoba. Na udělení pověření není právní nárok.</w:t>
      </w:r>
    </w:p>
    <w:p>
      <w:pPr>
        <w:ind w:left="0" w:right="0"/>
      </w:pPr>
      <w:r>
        <w:rPr>
          <w:b/>
          <w:bCs/>
        </w:rPr>
        <w:t xml:space="preserve">(2)</w:t>
      </w:r>
      <w:r>
        <w:rPr/>
        <w:t xml:space="preserve"> Ministerstvo rozhoduje o pověření právnické osoby k provádění akreditace na základě její žádosti. Posuzuje při tom zejména, zdali právnická osoba bude schopna plnit podmínky stanovené tímto zákonem.</w:t>
      </w:r>
    </w:p>
    <w:p>
      <w:pPr>
        <w:ind w:left="0" w:right="0"/>
      </w:pPr>
      <w:r>
        <w:rPr>
          <w:b/>
          <w:bCs/>
        </w:rPr>
        <w:t xml:space="preserve">(3)</w:t>
      </w:r>
      <w:r>
        <w:rPr/>
        <w:t xml:space="preserve"> Neplní-li akreditující osoba podmínky stanovené v tomto zákoně nebo v rozhodnutí o pověření nebo pokud o to sama požádá, Ministerstvo rozhodnutí o pověření zruší.</w:t>
      </w:r>
    </w:p>
    <w:p>
      <w:pPr>
        <w:ind w:left="0" w:right="0"/>
      </w:pPr>
      <w:r>
        <w:rPr>
          <w:b/>
          <w:bCs/>
        </w:rPr>
        <w:t xml:space="preserve">(4)</w:t>
      </w:r>
      <w:r>
        <w:rPr/>
        <w:t xml:space="preserve"> Rozhodnutí o pověření akreditující osoby a zrušení tohoto rozhodnutí zveřejní Ministerstvo ve formě sdělení ve Sbírce zákonů České republiky.</w:t>
      </w:r>
    </w:p>
    <w:p>
      <w:pPr>
        <w:ind w:left="0" w:right="0"/>
      </w:pPr>
      <w:r>
        <w:rPr>
          <w:b/>
          <w:bCs/>
        </w:rPr>
        <w:t xml:space="preserve">(5)</w:t>
      </w:r>
      <w:r>
        <w:rPr/>
        <w:t xml:space="preserve"> Náklady, které akreditující osobě vzniknou při činnostech vyplývajících z mezinárodní spolupráce v oblasti akreditace, hradí stát.</w:t>
      </w:r>
    </w:p>
    <w:p>
      <w:pPr>
        <w:ind w:left="0" w:right="0"/>
      </w:pPr>
      <w:r>
        <w:rPr>
          <w:b/>
          <w:bCs/>
        </w:rPr>
        <w:t xml:space="preserve">(6)</w:t>
      </w:r>
      <w:r>
        <w:rPr/>
        <w:t xml:space="preserve"> Pokud není provádění akreditace zabezpečeno akreditující osobou, zabezpečuje ji Úřad.</w:t>
      </w:r>
    </w:p>
    <w:p>
      <w:pPr>
        <w:ind w:left="0" w:right="0"/>
      </w:pPr>
      <w:r>
        <w:rPr>
          <w:b/>
          <w:bCs/>
        </w:rPr>
        <w:t xml:space="preserve">(7)</w:t>
      </w:r>
      <w:r>
        <w:rPr/>
        <w:t xml:space="preserve"> Pro udělení pověření k provádění akreditace musí právnická osoba žádající o akreditaci splňovat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nestrannost vzhledem k žadatelům o vydání osvědčení o akreditaci s vyloučením všech vlivů, které by mohly ovlivnit objektivitu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zabezpečení souladu podmínek a postupů posuzování žadatelů s pravidly mezinárodních organizací zabývajících se akreditací uznanými příslušným orgánem České republiky (dále jen „akreditační pravidla“),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povinností vyplývajících z členství v mezinárodních organizacích zabývajících se akreditací uznaných příslušným orgánem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finanční stabilita a zajištění zdrojů potřebných pro správu akreditačního systému,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personální zabezpečení činnosti stálými zaměstnanci.</w:t>
      </w:r>
    </w:p>
    <w:p>
      <w:pPr>
        <w:ind w:left="0" w:right="0"/>
      </w:pPr>
      <w:r>
        <w:rPr>
          <w:b/>
          <w:bCs/>
        </w:rPr>
        <w:t xml:space="preserve">(8)</w:t>
      </w:r>
      <w:r>
        <w:rPr/>
        <w:t xml:space="preserve"> Další podmínky může stanovit Ministerstvo v rozhodnutí o pověření, zejména je-li to nezbytné pro zapojení do mezinárodní spolupráce v oblasti akreditace.</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Akreditující osoba vydá právnické nebo fyzické osobě na její žádost osvědčení o akreditaci. Toto osvědčení vydá, pokud žadatel splňuje akreditační pravidla pro zkoušení výrobků, kalibraci měřidel a certifikační nebo jiné obdobné technické činnosti a nemá žádné obchodní, finanční nebo jiné zájmy nebo vazby, které by mohly ovlivnit jeho nálezy. Osvědčení o akreditaci vymezuje předmět, rozsah a podmínky těchto činností a dobu, na kterou bylo vydáno.</w:t>
      </w:r>
    </w:p>
    <w:p>
      <w:pPr>
        <w:ind w:left="0" w:right="0"/>
      </w:pPr>
      <w:r>
        <w:rPr>
          <w:b/>
          <w:bCs/>
        </w:rPr>
        <w:t xml:space="preserve">(2)</w:t>
      </w:r>
      <w:r>
        <w:rPr/>
        <w:t xml:space="preserve"> Vydaná osvědčení se zveřejňují ve Věstníku Úřadu.</w:t>
      </w:r>
    </w:p>
    <w:p>
      <w:pPr>
        <w:ind w:left="0" w:right="0"/>
      </w:pPr>
      <w:r>
        <w:rPr>
          <w:b/>
          <w:bCs/>
        </w:rPr>
        <w:t xml:space="preserve">(3)</w:t>
      </w:r>
      <w:r>
        <w:rPr/>
        <w:t xml:space="preserve"> Akreditující osoba provádí dozor nad dodržováním akreditačních pravidel. Zjistí-li nedostatky v plnění těchto pravidel, podle závažnosti nedostatků pozastaví účinnost osvědčení nebo je odejme.</w:t>
      </w:r>
    </w:p>
    <w:p>
      <w:pPr>
        <w:pStyle w:val="Heading3"/>
      </w:pPr>
      <w:r>
        <w:rPr>
          <w:b/>
          <w:bCs/>
        </w:rPr>
        <w:t xml:space="preserve">§ 17</w:t>
      </w:r>
      <w:r>
        <w:rPr>
          <w:rStyle w:val="hidden"/>
        </w:rPr>
        <w:t xml:space="preserve"> -</w:t>
      </w:r>
      <w:br/>
      <w:r>
        <w:rPr/>
        <w:t xml:space="preserve">Uznávání zahraničních dokumentů a značek</w:t>
      </w:r>
    </w:p>
    <w:p>
      <w:pPr>
        <w:ind w:left="0" w:right="0"/>
      </w:pPr>
      <w:r>
        <w:rPr>
          <w:b/>
          <w:bCs/>
        </w:rPr>
        <w:t xml:space="preserve">(1)</w:t>
      </w:r>
      <w:r>
        <w:rPr/>
        <w:t xml:space="preserve"> Úřad může obvykle na zásadě vzájemnosti uznávat zahraniční dokumenty (certifikáty, osvědčení apod.) jako dokumenty osvědčující posouzení shody nebo zahraniční značku jako českou značku shody podle tohoto zákona, popřípadě jako podklady k posouzení shody, pokud je zabezpečena úroveň oprávněného zájmu odpovídající požadavkům příslušných technických předpisů. Za stejných podmínek může autorizovaná osoba uznat výsledky zkoušek a zjištění provedených v zahraničí.</w:t>
      </w:r>
    </w:p>
    <w:p>
      <w:pPr>
        <w:jc w:val="center"/>
        <w:ind w:left="0" w:right="0"/>
      </w:pPr>
      <w:r>
        <w:rPr>
          <w:b/>
          <w:bCs/>
        </w:rPr>
        <w:t xml:space="preserve">(2)</w:t>
      </w:r>
      <w:r>
        <w:rPr/>
        <w:t xml:space="preserve"> Úřad zveřejňuje skutečnosti podle odstavce 1 věty prvé oznámením publikovaným ve Věstníku Úřadu.</w:t>
      </w:r>
    </w:p>
    <w:p>
      <w:pPr>
        <w:pStyle w:val="Heading2"/>
      </w:pPr>
      <w:r>
        <w:rPr>
          <w:b/>
          <w:bCs/>
        </w:rPr>
        <w:t xml:space="preserve">Hlava IV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t xml:space="preserve">Dozor nad tím, zda pro stanovené výrobky uváděné na trh bylo vydáno prohlášení o shodě a zda vlastnosti stanovených výrobků uvedených na trh a náležitosti posouzení shody odpovídají stanoveným podmínkám vydaného prohlášení o shodě, provádí Česká obchodní inspekce</w:t>
      </w:r>
      <w:r>
        <w:rPr>
          <w:vertAlign w:val="superscript"/>
        </w:rPr>
        <w:t xml:space="preserve">4</w:t>
      </w:r>
      <w:r>
        <w:rPr/>
        <w:t xml:space="preserve">)</w:t>
      </w:r>
      <w:r>
        <w:rPr/>
        <w:t xml:space="preserve"> (dále jen „orgán dozoru“).</w:t>
      </w:r>
    </w:p>
    <w:p>
      <w:pPr>
        <w:pStyle w:val="Heading3"/>
      </w:pPr>
      <w:r>
        <w:rPr>
          <w:b/>
          <w:bCs/>
        </w:rPr>
        <w:t xml:space="preserve">§ 19</w:t>
      </w:r>
      <w:r>
        <w:rPr>
          <w:rStyle w:val="hidden"/>
        </w:rPr>
        <w:t xml:space="preserve"> -</w:t>
      </w:r>
      <w:br/>
      <w:r>
        <w:rPr/>
        <w:t xml:space="preserve">Pokuty</w:t>
      </w:r>
    </w:p>
    <w:p>
      <w:pPr>
        <w:ind w:left="0" w:right="0"/>
      </w:pPr>
      <w:r>
        <w:rPr>
          <w:b/>
          <w:bCs/>
        </w:rPr>
        <w:t xml:space="preserve">(1)</w:t>
      </w:r>
      <w:r>
        <w:rPr/>
        <w:t xml:space="preserve"> Orgán dozoru uloží pokutu do výše 20 milionů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nebo klamavě užil českou značku shody, certifikát nebo prohlášení o shodě nebo kdo je padělal nebo zfalšoval,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uvedl na trh nebo distribuoval stanovené výrobky bez prohlášení o shodě nebo s nepravdivým prohlášením o shodě nebo bez stanoveného označení českou značkou shody,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nesplnil rozhodnutí o ochranném opatření.</w:t>
      </w:r>
      <w:r>
        <w:rPr>
          <w:vertAlign w:val="superscript"/>
        </w:rPr>
        <w:t xml:space="preserve">5</w:t>
      </w:r>
      <w:r>
        <w:rPr/>
        <w:t xml:space="preserve">)</w:t>
      </w:r>
    </w:p>
    <w:p>
      <w:pPr>
        <w:ind w:left="0" w:right="0"/>
      </w:pPr>
      <w:r>
        <w:rPr>
          <w:b/>
          <w:bCs/>
        </w:rPr>
        <w:t xml:space="preserve">(2)</w:t>
      </w:r>
      <w:r>
        <w:rPr/>
        <w:t xml:space="preserve"> Výrobcům, dovozcům nebo distributorům, kteří neposkytnou orgánu dozoru ve stanovené lhůtě požadované podklady nebo pravdivé informace nebo neumožní jejich prověření nebo nesplnili povinnosti vyplývající z </w:t>
      </w:r>
      <w:r>
        <w:rPr/>
        <w:t xml:space="preserve">§ 13 odst. 4 nebo odst. 5</w:t>
      </w:r>
      <w:r>
        <w:rPr/>
        <w:t xml:space="preserve"> druhá věta nebo jinak ztěžují postup řízení, může uložit orgán dozoru pokutu do výše 1 milionu Kč.</w:t>
      </w:r>
    </w:p>
    <w:p>
      <w:pPr>
        <w:ind w:left="0" w:right="0"/>
      </w:pPr>
      <w:r>
        <w:rPr>
          <w:b/>
          <w:bCs/>
        </w:rPr>
        <w:t xml:space="preserve">(3)</w:t>
      </w:r>
      <w:r>
        <w:rPr/>
        <w:t xml:space="preserve"> Úřad na základě podnětu, který obdrží, nebo na základě vlastního zjištění, uloží pokutu do výše 1 milionu Kč tomu,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označil dokument značkou ČSN,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neoprávněně rozmnožil nebo rozšířil normu,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neoprávněně vystupoval jako akreditující osoba nebo jako autorizovaná osoba nebo jako osoba, které bylo vydáno osvědčení o akreditaci,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vydal osvědčení o akreditaci nebo certifikát.</w:t>
      </w:r>
    </w:p>
    <w:p>
      <w:pPr>
        <w:ind w:left="0" w:right="0"/>
      </w:pPr>
      <w:r>
        <w:rPr>
          <w:b/>
          <w:bCs/>
        </w:rPr>
        <w:t xml:space="preserve">(4)</w:t>
      </w:r>
      <w:r>
        <w:rPr/>
        <w:t xml:space="preserve"> Při ukládání pokut se přihlíží zejména k závažnosti, způsobu, době trvání a následkům protiprávního jednání.</w:t>
      </w:r>
    </w:p>
    <w:p>
      <w:pPr>
        <w:ind w:left="0" w:right="0"/>
      </w:pPr>
      <w:r>
        <w:rPr>
          <w:b/>
          <w:bCs/>
        </w:rPr>
        <w:t xml:space="preserve">(5)</w:t>
      </w:r>
      <w:r>
        <w:rPr/>
        <w:t xml:space="preserve"> Pokutu lze uložit do jednoho roku ode dne, kdy se orgán oprávněný k uložení pokuty dozvěděl o porušení povinností, nejpozději však do pěti let ode dne, kdy k porušení takové povinnosti došlo.</w:t>
      </w:r>
    </w:p>
    <w:p>
      <w:pPr>
        <w:ind w:left="0" w:right="0"/>
      </w:pPr>
      <w:r>
        <w:rPr>
          <w:b/>
          <w:bCs/>
        </w:rPr>
        <w:t xml:space="preserve">(6)</w:t>
      </w:r>
      <w:r>
        <w:rPr/>
        <w:t xml:space="preserve"> Pokuta je splatná do 30 dnů od nabytí právní moci rozhodnutí o uložení pokuty.</w:t>
      </w:r>
    </w:p>
    <w:p>
      <w:pPr>
        <w:ind w:left="0" w:right="0"/>
      </w:pPr>
      <w:r>
        <w:rPr>
          <w:b/>
          <w:bCs/>
        </w:rPr>
        <w:t xml:space="preserve">(7)</w:t>
      </w:r>
      <w:r>
        <w:rPr/>
        <w:t xml:space="preserve"> Pokuty vybírá a vymáhá podle zákona o správě daní a poplatků</w:t>
      </w:r>
      <w:r>
        <w:rPr>
          <w:vertAlign w:val="superscript"/>
        </w:rPr>
        <w:t xml:space="preserve">6</w:t>
      </w:r>
      <w:r>
        <w:rPr/>
        <w:t xml:space="preserve">)</w:t>
      </w:r>
      <w:r>
        <w:rPr/>
        <w:t xml:space="preserve"> orgán, který je uložil.</w:t>
      </w:r>
    </w:p>
    <w:p>
      <w:pPr>
        <w:ind w:left="0" w:right="0"/>
      </w:pPr>
      <w:r>
        <w:rPr>
          <w:b/>
          <w:bCs/>
        </w:rPr>
        <w:t xml:space="preserve">(8)</w:t>
      </w:r>
      <w:r>
        <w:rPr/>
        <w:t xml:space="preserve"> Výnos pokut uložených podle tohoto zákona je příjmem státního rozpočtu.</w:t>
      </w:r>
    </w:p>
    <w:p>
      <w:pPr>
        <w:ind w:left="0" w:right="0"/>
      </w:pPr>
      <w:r>
        <w:rPr>
          <w:b/>
          <w:bCs/>
        </w:rPr>
        <w:t xml:space="preserve">(9)</w:t>
      </w:r>
      <w:r>
        <w:rPr/>
        <w:t xml:space="preserve"> Uložením pokuty není dotčena povinnost k náhradě škody.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7" w:history="1">
        <w:r>
          <w:rPr>
            <w:color w:val="darkblue"/>
            <w:u w:val="single"/>
          </w:rPr>
          <w:t xml:space="preserve">142/1991 Sb.</w:t>
        </w:r>
      </w:hyperlink>
      <w:r>
        <w:rPr/>
        <w:t xml:space="preserve">, ve znění zákona č. </w:t>
      </w:r>
      <w:hyperlink r:id="rId8"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9"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w:t>
      </w:r>
      <w:r>
        <w:rPr/>
        <w:t xml:space="preserve">§ 12 a 13</w:t>
      </w:r>
      <w:r>
        <w:rPr/>
        <w:t xml:space="preserve">.</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0" w:history="1">
        <w:r>
          <w:rPr>
            <w:color w:val="darkblue"/>
            <w:u w:val="single"/>
          </w:rPr>
          <w:t xml:space="preserve">64/1986 Sb.</w:t>
        </w:r>
      </w:hyperlink>
      <w:r>
        <w:rPr/>
        <w:t xml:space="preserve">, o České obchodní inspekci, ve znění zákona České národní rady č. </w:t>
      </w:r>
      <w:hyperlink r:id="rId11"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18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7"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19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2" w:history="1">
        <w:r>
          <w:rPr>
            <w:color w:val="darkblue"/>
            <w:u w:val="single"/>
          </w:rPr>
          <w:t xml:space="preserve">526/1990 Sb.</w:t>
        </w:r>
      </w:hyperlink>
      <w:r>
        <w:rPr>
          <w:sz w:val="19.200000000000003"/>
          <w:szCs w:val="19.200000000000003"/>
        </w:rPr>
        <w:t xml:space="preserve">, o cenách, ve znění zákona č. </w:t>
      </w:r>
      <w:hyperlink r:id="rId13"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4"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22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6"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17" w:history="1">
        <w:r>
          <w:rPr>
            <w:color w:val="darkblue"/>
            <w:u w:val="single"/>
          </w:rPr>
          <w:t xml:space="preserve">§ 4</w:t>
        </w:r>
      </w:hyperlink>
      <w:r>
        <w:rPr>
          <w:sz w:val="19.200000000000003"/>
          <w:szCs w:val="19.200000000000003"/>
        </w:rPr>
        <w:t xml:space="preserve"> odst. 1 zákona č. </w:t>
      </w:r>
      <w:hyperlink r:id="rId16"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18" w:history="1">
        <w:r>
          <w:rPr>
            <w:color w:val="darkblue"/>
            <w:u w:val="single"/>
          </w:rPr>
          <w:t xml:space="preserve">§ 14</w:t>
        </w:r>
      </w:hyperlink>
      <w:r>
        <w:rPr>
          <w:sz w:val="19.200000000000003"/>
          <w:szCs w:val="19.200000000000003"/>
        </w:rPr>
        <w:t xml:space="preserve"> a </w:t>
      </w:r>
      <w:hyperlink r:id="rId19" w:history="1">
        <w:r>
          <w:rPr>
            <w:color w:val="darkblue"/>
            <w:u w:val="single"/>
          </w:rPr>
          <w:t xml:space="preserve">15</w:t>
        </w:r>
      </w:hyperlink>
      <w:r>
        <w:rPr>
          <w:sz w:val="19.200000000000003"/>
          <w:szCs w:val="19.200000000000003"/>
        </w:rPr>
        <w:t xml:space="preserve"> zákona č. </w:t>
      </w:r>
      <w:hyperlink r:id="rId16"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23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0" w:history="1">
        <w:r>
          <w:rPr>
            <w:color w:val="darkblue"/>
            <w:u w:val="single"/>
          </w:rPr>
          <w:t xml:space="preserve">§ 13</w:t>
        </w:r>
      </w:hyperlink>
      <w:r>
        <w:rPr>
          <w:sz w:val="19.200000000000003"/>
          <w:szCs w:val="19.200000000000003"/>
        </w:rPr>
        <w:t xml:space="preserve"> odst. 2 písm. c), </w:t>
      </w:r>
      <w:hyperlink r:id="rId21" w:history="1">
        <w:r>
          <w:rPr>
            <w:color w:val="darkblue"/>
            <w:u w:val="single"/>
          </w:rPr>
          <w:t xml:space="preserve">§ 16</w:t>
        </w:r>
      </w:hyperlink>
      <w:r>
        <w:rPr>
          <w:sz w:val="19.200000000000003"/>
          <w:szCs w:val="19.200000000000003"/>
        </w:rPr>
        <w:t xml:space="preserve">, </w:t>
      </w:r>
      <w:hyperlink r:id="rId22" w:history="1">
        <w:r>
          <w:rPr>
            <w:color w:val="darkblue"/>
            <w:u w:val="single"/>
          </w:rPr>
          <w:t xml:space="preserve">20</w:t>
        </w:r>
      </w:hyperlink>
      <w:r>
        <w:rPr>
          <w:sz w:val="19.200000000000003"/>
          <w:szCs w:val="19.200000000000003"/>
        </w:rPr>
        <w:t xml:space="preserve"> a </w:t>
      </w:r>
      <w:hyperlink r:id="rId23" w:history="1">
        <w:r>
          <w:rPr>
            <w:color w:val="darkblue"/>
            <w:u w:val="single"/>
          </w:rPr>
          <w:t xml:space="preserve">21</w:t>
        </w:r>
      </w:hyperlink>
      <w:r>
        <w:rPr>
          <w:sz w:val="19.200000000000003"/>
          <w:szCs w:val="19.200000000000003"/>
        </w:rPr>
        <w:t xml:space="preserve"> zákona č. </w:t>
      </w:r>
      <w:hyperlink r:id="rId16"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30/1968 Sb.</w:t>
        </w:r>
      </w:hyperlink>
      <w:r>
        <w:rPr/>
        <w:t xml:space="preserve">, o státním zkušebnictví, ve znění zákona č. </w:t>
      </w:r>
      <w:hyperlink r:id="rId24" w:history="1">
        <w:r>
          <w:rPr>
            <w:color w:val="darkblue"/>
            <w:u w:val="single"/>
          </w:rPr>
          <w:t xml:space="preserve">54/1987 Sb.</w:t>
        </w:r>
      </w:hyperlink>
      <w:r>
        <w:rPr/>
        <w:t xml:space="preserve">, zákona č. </w:t>
      </w:r>
      <w:hyperlink r:id="rId25" w:history="1">
        <w:r>
          <w:rPr>
            <w:color w:val="darkblue"/>
            <w:u w:val="single"/>
          </w:rPr>
          <w:t xml:space="preserve">194/1988 Sb.</w:t>
        </w:r>
      </w:hyperlink>
      <w:r>
        <w:rPr/>
        <w:t xml:space="preserve">, zákona č. </w:t>
      </w:r>
      <w:hyperlink r:id="rId26" w:history="1">
        <w:r>
          <w:rPr>
            <w:color w:val="darkblue"/>
            <w:u w:val="single"/>
          </w:rPr>
          <w:t xml:space="preserve">479/1992 Sb.</w:t>
        </w:r>
      </w:hyperlink>
      <w:r>
        <w:rPr/>
        <w:t xml:space="preserve"> a zákona č. </w:t>
      </w:r>
      <w:hyperlink r:id="rId27"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 w:history="1">
        <w:r>
          <w:rPr>
            <w:color w:val="darkblue"/>
            <w:u w:val="single"/>
          </w:rPr>
          <w:t xml:space="preserve">142/1991 Sb.</w:t>
        </w:r>
      </w:hyperlink>
      <w:r>
        <w:rPr/>
        <w:t xml:space="preserve">, o československých technických normách, ve znění zákona č. </w:t>
      </w:r>
      <w:hyperlink r:id="rId8"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28"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29" w:history="1">
        <w:r>
          <w:rPr>
            <w:color w:val="darkblue"/>
            <w:u w:val="single"/>
          </w:rPr>
          <w:t xml:space="preserve">101/1988 Sb.</w:t>
        </w:r>
      </w:hyperlink>
      <w:r>
        <w:rPr/>
        <w:t xml:space="preserve">, o certifikaci výrobků, ve znění vyhlášky č. </w:t>
      </w:r>
      <w:hyperlink r:id="rId30"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1" w:history="1">
        <w:r>
          <w:rPr>
            <w:color w:val="darkblue"/>
            <w:u w:val="single"/>
          </w:rPr>
          <w:t xml:space="preserve">585/1992 Sb.</w:t>
        </w:r>
      </w:hyperlink>
      <w:r>
        <w:rPr/>
        <w:t xml:space="preserve">, kterou se provádí zákon č. </w:t>
      </w:r>
      <w:hyperlink r:id="rId9" w:history="1">
        <w:r>
          <w:rPr>
            <w:color w:val="darkblue"/>
            <w:u w:val="single"/>
          </w:rPr>
          <w:t xml:space="preserve">30/1968 Sb.</w:t>
        </w:r>
      </w:hyperlink>
      <w:r>
        <w:rPr/>
        <w:t xml:space="preserve">, o státním zkušebnictví, ve znění vyhlášky č. </w:t>
      </w:r>
      <w:hyperlink r:id="rId32"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25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ČNR č. </w:t>
      </w:r>
      <w:hyperlink r:id="rId33" w:history="1">
        <w:r>
          <w:rPr>
            <w:color w:val="darkblue"/>
            <w:u w:val="single"/>
          </w:rPr>
          <w:t xml:space="preserve">545/1992 Sb.</w:t>
        </w:r>
      </w:hyperlink>
      <w:r>
        <w:rPr>
          <w:sz w:val="19.200000000000003"/>
          <w:szCs w:val="19.200000000000003"/>
        </w:rPr>
        <w:t xml:space="preserve">, o Sbírce zákonů České republiky.</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2" w:history="1">
        <w:r>
          <w:rPr>
            <w:color w:val="darkblue"/>
            <w:u w:val="single"/>
          </w:rPr>
          <w:t xml:space="preserve">526/1990 Sb.</w:t>
        </w:r>
      </w:hyperlink>
      <w:r>
        <w:rPr>
          <w:sz w:val="19.200000000000003"/>
          <w:szCs w:val="19.200000000000003"/>
        </w:rPr>
        <w:t xml:space="preserve">, o cenách, ve znění zákona č. </w:t>
      </w:r>
      <w:hyperlink r:id="rId13"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Např. zákon č. </w:t>
      </w:r>
      <w:hyperlink r:id="rId34" w:history="1">
        <w:r>
          <w:rPr>
            <w:color w:val="darkblue"/>
            <w:u w:val="single"/>
          </w:rPr>
          <w:t xml:space="preserve">38/1995 Sb.</w:t>
        </w:r>
      </w:hyperlink>
      <w:r>
        <w:rPr>
          <w:sz w:val="19.200000000000003"/>
          <w:szCs w:val="19.200000000000003"/>
        </w:rPr>
        <w:t xml:space="preserve">, o technických podmínkách provozu silničních vozidel na pozemních komunikacích, zákon č. </w:t>
      </w:r>
      <w:hyperlink r:id="rId35" w:history="1">
        <w:r>
          <w:rPr>
            <w:color w:val="darkblue"/>
            <w:u w:val="single"/>
          </w:rPr>
          <w:t xml:space="preserve">114/1995 Sb.</w:t>
        </w:r>
      </w:hyperlink>
      <w:r>
        <w:rPr>
          <w:sz w:val="19.200000000000003"/>
          <w:szCs w:val="19.200000000000003"/>
        </w:rPr>
        <w:t xml:space="preserve">, o vnitrozemské plavbě, zákon č. </w:t>
      </w:r>
      <w:hyperlink r:id="rId36"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ČNR č. </w:t>
      </w:r>
      <w:hyperlink r:id="rId10"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7a zákona ČNR č. </w:t>
      </w:r>
      <w:hyperlink r:id="rId10" w:history="1">
        <w:r>
          <w:rPr>
            <w:color w:val="darkblue"/>
            <w:u w:val="single"/>
          </w:rPr>
          <w:t xml:space="preserve">64/1986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ČNR č. </w:t>
      </w:r>
      <w:hyperlink r:id="rId37"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5" w:history="1">
        <w:r>
          <w:rPr>
            <w:color w:val="darkblue"/>
            <w:u w:val="single"/>
          </w:rPr>
          <w:t xml:space="preserve">71/1967 Sb.</w:t>
        </w:r>
      </w:hyperlink>
      <w:r>
        <w:rPr>
          <w:sz w:val="19.200000000000003"/>
          <w:szCs w:val="19.200000000000003"/>
        </w:rPr>
        <w:t xml:space="preserve">, o správním řízení (správní řád).</w:t>
      </w:r>
    </w:p>
    <w:sectPr>
      <w:headerReference w:type="default" r:id="rId38"/>
      <w:footerReference w:type="default" r:id="rId3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1s142" TargetMode="External"/><Relationship Id="rId8" Type="http://schemas.openxmlformats.org/officeDocument/2006/relationships/hyperlink" Target="https://esipa.cz/sbirka/sbsrv.dll/sb?DR=SB&amp;CP=1992s632" TargetMode="External"/><Relationship Id="rId9" Type="http://schemas.openxmlformats.org/officeDocument/2006/relationships/hyperlink" Target="https://esipa.cz/sbirka/sbsrv.dll/sb?DR=SB&amp;CP=1968s030" TargetMode="External"/><Relationship Id="rId10" Type="http://schemas.openxmlformats.org/officeDocument/2006/relationships/hyperlink" Target="https://esipa.cz/sbirka/sbsrv.dll/sb?DR=SB&amp;CP=1986s064" TargetMode="External"/><Relationship Id="rId11" Type="http://schemas.openxmlformats.org/officeDocument/2006/relationships/hyperlink" Target="https://esipa.cz/sbirka/sbsrv.dll/sb?DR=SB&amp;CP=1992s240" TargetMode="External"/><Relationship Id="rId12" Type="http://schemas.openxmlformats.org/officeDocument/2006/relationships/hyperlink" Target="https://esipa.cz/sbirka/sbsrv.dll/sb?DR=SB&amp;CP=1990s526" TargetMode="External"/><Relationship Id="rId13" Type="http://schemas.openxmlformats.org/officeDocument/2006/relationships/hyperlink" Target="https://esipa.cz/sbirka/sbsrv.dll/sb?DR=SB&amp;CP=1994s135" TargetMode="External"/><Relationship Id="rId14" Type="http://schemas.openxmlformats.org/officeDocument/2006/relationships/hyperlink" Target="https://esipa.cz/sbirka/sbsrv.dll/sb?DR=SB&amp;CP=1993s020" TargetMode="External"/><Relationship Id="rId15" Type="http://schemas.openxmlformats.org/officeDocument/2006/relationships/hyperlink" Target="https://esipa.cz/sbirka/sbsrv.dll/sb?DR=SB&amp;CP=1967s071" TargetMode="External"/><Relationship Id="rId16" Type="http://schemas.openxmlformats.org/officeDocument/2006/relationships/hyperlink" Target="https://esipa.cz/sbirka/sbsrv.dll/sb?DR=SB&amp;CP=1990s505" TargetMode="External"/><Relationship Id="rId17" Type="http://schemas.openxmlformats.org/officeDocument/2006/relationships/hyperlink" Target="https://esipa.cz/sbirka/sbsrv.dll/sb?DR=SB&amp;CP=1990s505#C01_P004" TargetMode="External"/><Relationship Id="rId18" Type="http://schemas.openxmlformats.org/officeDocument/2006/relationships/hyperlink" Target="https://esipa.cz/sbirka/sbsrv.dll/sb?DR=SB&amp;CP=1990s505#C05_P014" TargetMode="External"/><Relationship Id="rId19" Type="http://schemas.openxmlformats.org/officeDocument/2006/relationships/hyperlink" Target="https://esipa.cz/sbirka/sbsrv.dll/sb?DR=SB&amp;CP=1990s505#C05_P015" TargetMode="External"/><Relationship Id="rId20" Type="http://schemas.openxmlformats.org/officeDocument/2006/relationships/hyperlink" Target="https://esipa.cz/sbirka/sbsrv.dll/sb?DR=SB&amp;CP=1990s505#C05_P013" TargetMode="External"/><Relationship Id="rId21" Type="http://schemas.openxmlformats.org/officeDocument/2006/relationships/hyperlink" Target="https://esipa.cz/sbirka/sbsrv.dll/sb?DR=SB&amp;CP=1990s505#C05_P016" TargetMode="External"/><Relationship Id="rId22" Type="http://schemas.openxmlformats.org/officeDocument/2006/relationships/hyperlink" Target="https://esipa.cz/sbirka/sbsrv.dll/sb?DR=SB&amp;CP=1990s505#C05_P020" TargetMode="External"/><Relationship Id="rId23" Type="http://schemas.openxmlformats.org/officeDocument/2006/relationships/hyperlink" Target="https://esipa.cz/sbirka/sbsrv.dll/sb?DR=SB&amp;CP=1990s505#C05_P021" TargetMode="External"/><Relationship Id="rId24" Type="http://schemas.openxmlformats.org/officeDocument/2006/relationships/hyperlink" Target="https://esipa.cz/sbirka/sbsrv.dll/sb?DR=SB&amp;CP=1987s054" TargetMode="External"/><Relationship Id="rId25" Type="http://schemas.openxmlformats.org/officeDocument/2006/relationships/hyperlink" Target="https://esipa.cz/sbirka/sbsrv.dll/sb?DR=SB&amp;CP=1988s194" TargetMode="External"/><Relationship Id="rId26" Type="http://schemas.openxmlformats.org/officeDocument/2006/relationships/hyperlink" Target="https://esipa.cz/sbirka/sbsrv.dll/sb?DR=SB&amp;CP=1992s479" TargetMode="External"/><Relationship Id="rId27" Type="http://schemas.openxmlformats.org/officeDocument/2006/relationships/hyperlink" Target="https://esipa.cz/sbirka/sbsrv.dll/sb?DR=SB&amp;CP=1992s539" TargetMode="External"/><Relationship Id="rId28" Type="http://schemas.openxmlformats.org/officeDocument/2006/relationships/hyperlink" Target="https://esipa.cz/sbirka/sbsrv.dll/sb?DR=SB&amp;CP=1984s104" TargetMode="External"/><Relationship Id="rId29" Type="http://schemas.openxmlformats.org/officeDocument/2006/relationships/hyperlink" Target="https://esipa.cz/sbirka/sbsrv.dll/sb?DR=SB&amp;CP=1988s101" TargetMode="External"/><Relationship Id="rId30" Type="http://schemas.openxmlformats.org/officeDocument/2006/relationships/hyperlink" Target="https://esipa.cz/sbirka/sbsrv.dll/sb?DR=SB&amp;CP=1993s233" TargetMode="External"/><Relationship Id="rId31" Type="http://schemas.openxmlformats.org/officeDocument/2006/relationships/hyperlink" Target="https://esipa.cz/sbirka/sbsrv.dll/sb?DR=SB&amp;CP=1992s585" TargetMode="External"/><Relationship Id="rId32" Type="http://schemas.openxmlformats.org/officeDocument/2006/relationships/hyperlink" Target="https://esipa.cz/sbirka/sbsrv.dll/sb?DR=SB&amp;CP=1993s232" TargetMode="External"/><Relationship Id="rId33" Type="http://schemas.openxmlformats.org/officeDocument/2006/relationships/hyperlink" Target="https://esipa.cz/sbirka/sbsrv.dll/sb?DR=SB&amp;CP=1992s545" TargetMode="External"/><Relationship Id="rId34" Type="http://schemas.openxmlformats.org/officeDocument/2006/relationships/hyperlink" Target="https://esipa.cz/sbirka/sbsrv.dll/sb?DR=SB&amp;CP=1995s038" TargetMode="External"/><Relationship Id="rId35" Type="http://schemas.openxmlformats.org/officeDocument/2006/relationships/hyperlink" Target="https://esipa.cz/sbirka/sbsrv.dll/sb?DR=SB&amp;CP=1995s114" TargetMode="External"/><Relationship Id="rId36" Type="http://schemas.openxmlformats.org/officeDocument/2006/relationships/hyperlink" Target="https://esipa.cz/sbirka/sbsrv.dll/sb?DR=SB&amp;CP=1997s018" TargetMode="External"/><Relationship Id="rId37" Type="http://schemas.openxmlformats.org/officeDocument/2006/relationships/hyperlink" Target="https://esipa.cz/sbirka/sbsrv.dll/sb?DR=SB&amp;CP=1992s337" TargetMode="External"/><Relationship Id="rId38" Type="http://schemas.openxmlformats.org/officeDocument/2006/relationships/header" Target="header1.xml"/><Relationship Id="rId3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 původní znění</dc:title>
  <dc:description>Zákon o technických požadavcích na výrobky a o změně a doplnění některých zákonů</dc:description>
  <dc:subject/>
  <cp:keywords/>
  <cp:category/>
  <cp:lastModifiedBy/>
  <dcterms:created xsi:type="dcterms:W3CDTF">1997-09-01T00:00:00+02:00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