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ind w:left="0" w:right="0"/>
      </w:pPr>
      <w:r>
        <w:rPr>
          <w:b/>
          <w:bCs/>
        </w:rPr>
        <w:t xml:space="preserve">(3)</w:t>
      </w:r>
      <w:r>
        <w:rPr/>
        <w:t xml:space="preserve">  Tento zákon též upravuje v návaznosti na přímo použitelný předpis Evropské unie</w:t>
      </w:r>
      <w:r>
        <w:rPr>
          <w:vertAlign w:val="superscript"/>
        </w:rPr>
        <w:t xml:space="preserve">10</w:t>
      </w:r>
      <w:r>
        <w:rPr/>
        <w:t xml:space="preserve">)</w:t>
      </w:r>
      <w:r>
        <w:rPr/>
        <w:t xml:space="preserve"> (dále jen „přímo použitelný předpis pro stavební výrobky“) výkon státní správy v souvislosti s uváděním a dodáváním stavebních výrobků vymezených přímo použitelným předpisem pro stavební výrobky (dále jen „stavební výrobky s označením CE“) na trh, včetně dozoru nad plněním povinností stanovených přímo použitelným předpisem pro stavební výrobky a ukládání sankcí za jejich porušení.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osoba usazená v členském státě Evropské unie, která uvede na trh výrobek z jiného než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hospodářským subjektem výrobce, dovozce, distributor a zplnomocněný zástupce.</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pozastavení a zrušení tohoto pověření,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subjekty, u nichž ověřil, že splňují požadavky na oznámený subjekt stanovené přímo použitelným předpisem pro stavební výrobky,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pozastavení nebo zrušení oprávnění provádět stanovené činnosti při posuzování a ověřování stálosti vlastností stavebních výrobků s označením CE (dále jen „činnosti oznámeného subjektu“),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skutečnosti a informace</w:t>
      </w:r>
      <w:r>
        <w:rPr>
          <w:vertAlign w:val="superscript"/>
        </w:rPr>
        <w:t xml:space="preserve">11</w:t>
      </w:r>
      <w:r>
        <w:rPr/>
        <w:t xml:space="preserve">)</w:t>
      </w:r>
      <w:r>
        <w:rPr/>
        <w:t xml:space="preserve">, které předpokládá přímo použitelný předpis pro stavební výrobky, není-li v § 11c a 18c stanoveno jinak.</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 a u stavebních výrobků s označením CE posouzení a ověření stálosti jejich vlastností podle přímo použitelného předpisu pro stavební výrobky.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100/2013 Sb.</w:t>
        </w:r>
      </w:hyperlink>
      <w:r>
        <w:rPr/>
        <w:t xml:space="preserve"> (účinnost: 10. května 2013)</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změní-li se skutečnosti, na jejichž základě bylo vydáno rozhodnutí o autorizaci.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w:t>
      </w:r>
    </w:p>
    <w:p>
      <w:pPr>
        <w:ind w:left="0" w:right="0"/>
      </w:pPr>
      <w:r>
        <w:rPr>
          <w:b/>
          <w:bCs/>
        </w:rPr>
        <w:t xml:space="preserve">(5)</w:t>
      </w:r>
      <w:r>
        <w:rPr/>
        <w:t xml:space="preserve">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účinnosti rozhodnutí o autorizaci,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rozhodnutí o autorizaci,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rozhodnutí o autorizaci.</w:t>
      </w:r>
    </w:p>
    <w:p>
      <w:pPr>
        <w:ind w:left="0" w:right="0"/>
      </w:pPr>
      <w:r>
        <w:rPr>
          <w:b/>
          <w:bCs/>
        </w:rPr>
        <w:t xml:space="preserve">(6)</w:t>
      </w:r>
      <w:r>
        <w:rPr/>
        <w:t xml:space="preserve">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pPr>
        <w:ind w:left="0" w:right="0"/>
      </w:pPr>
      <w:r>
        <w:rPr>
          <w:b/>
          <w:bCs/>
        </w:rPr>
        <w:t xml:space="preserve">(7)</w:t>
      </w:r>
      <w:r>
        <w:rPr/>
        <w:t xml:space="preserve">  V případě zrušení rozhodnutí o autorizaci je autorizovaná osoba povinna po nabytí právní moci tohoto rozhodnutí předat Úřadu veškeré dokumenty, týkající se posuzování shody prováděné touto osobou. V případě změny nebo pozastavení účinnosti rozhodnutí o autorizaci je autorizovaná osoba povinna po nabytí právní moci takového rozhodnutí předat dokumenty podle věty první Úřadu, pokud o to Úřad požádá.</w:t>
      </w:r>
    </w:p>
    <w:p>
      <w:pPr>
        <w:ind w:left="0" w:right="0"/>
      </w:pPr>
      <w:r>
        <w:rPr>
          <w:b/>
          <w:bCs/>
        </w:rPr>
        <w:t xml:space="preserve">(8)</w:t>
      </w:r>
      <w:r>
        <w:rPr/>
        <w:t xml:space="preserve"> Autorizace, jejich rozsah a změny se zveřejňují oznámením ve Věstníku Úřadu.</w:t>
      </w:r>
    </w:p>
    <w:p>
      <w:pPr>
        <w:ind w:left="0" w:right="0"/>
      </w:pPr>
      <w:r>
        <w:rPr>
          <w:b/>
          <w:bCs/>
        </w:rPr>
        <w:t xml:space="preserve">(9)</w:t>
      </w:r>
      <w:r>
        <w:rPr/>
        <w:t xml:space="preserve">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pPr>
        <w:ind w:left="0" w:right="0"/>
      </w:pPr>
      <w:r>
        <w:rPr>
          <w:b/>
          <w:bCs/>
        </w:rPr>
        <w:t xml:space="preserve">(10)</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a v rozsahu stanoveném nařízením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vyzvat výrobce, aby přijal vhodná nápravná opatření, pokud autorizovaná osoba v průběhu posouzení shody nebo následně zjistí, že výrobky nesplňují technické požadavky stanovené v příslušném nařízení vlády podle § 12 odst.  1 písm.  b),</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informovat Úřad o všech žádostech orgánů dozoru týkajících se činností posuzování shody,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informovat Úřad na vyžádání o jimi provedených činnostech posuzování shody a o jakýchkoli jiných provedených činnostech, včetně přeshraničních činností a zadávání subdodávek.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ind w:left="0" w:right="0"/>
      </w:pPr>
      <w:r>
        <w:rPr>
          <w:b/>
          <w:bCs/>
        </w:rPr>
        <w:t xml:space="preserve">(4)</w:t>
      </w:r>
      <w:r>
        <w:rPr/>
        <w:t xml:space="preserve">  Pokud autorizovaná osoba obdrží podnět podle § 18 odst.  3, je povinna přezkoumat certifikát nebo jiný dokument vydaný podle § 11a odst.  2 písm.  c) bodu 1 a o výsledku přezkumu podat orgánu dozoru zprávu.</w:t>
      </w:r>
    </w:p>
    <w:p>
      <w:pPr>
        <w:pStyle w:val="Heading3"/>
      </w:pPr>
      <w:r>
        <w:rPr>
          <w:b/>
          <w:bCs/>
        </w:rPr>
        <w:t xml:space="preserve">§ 11b</w:t>
      </w:r>
      <w:r>
        <w:rPr>
          <w:rStyle w:val="hidden"/>
        </w:rPr>
        <w:t xml:space="preserve"> -</w:t>
      </w:r>
      <w:br/>
      <w:r>
        <w:rPr/>
        <w:t xml:space="preserve">Oznámené subjekty</w:t>
      </w:r>
    </w:p>
    <w:p>
      <w:pPr>
        <w:ind w:left="0" w:right="0"/>
      </w:pPr>
      <w:r>
        <w:rPr>
          <w:b/>
          <w:bCs/>
        </w:rPr>
        <w:t xml:space="preserve">(1)</w:t>
      </w:r>
      <w:r>
        <w:rPr/>
        <w:t xml:space="preserve">  Právnická osoba může provádět činnosti oznámeného subjektu, pokud v řízení vedeném Úřadem a zahájeném na žádost prokáže, že splňuje požadavky na oznámený subjekt, které stanoví čl. 43 přímo použitelného předpisu pro stavební výrobky. Náležitosti žádosti o udělení oprávnění provádět činnosti oznámeného subjektu (dále jen „oprávnění“) stanoví čl. 47 přímo použitelného předpisu pro stavební výrobky.</w:t>
      </w:r>
    </w:p>
    <w:p>
      <w:pPr>
        <w:ind w:left="0" w:right="0"/>
      </w:pPr>
      <w:r>
        <w:rPr>
          <w:b/>
          <w:bCs/>
        </w:rPr>
        <w:t xml:space="preserve">(2)</w:t>
      </w:r>
      <w:r>
        <w:rPr/>
        <w:t xml:space="preserve">  Pokud žadatel prokázal splnění požadavků podle odstavce  1, Úřad provede do 90 dnů od zahájení řízení oznámení podle § 7 odst.  7 písm.  c) a vyrozumí o tom žadatele; v opačném případě žádost zamítne. Lhůta podle věty první může být Úřadem prodloužena o dalších 30 dnů v případě, že žadatel prokazuje svoji odbornou způsobilost jiným způsobem, než prostřednictvím osvědčení o akreditaci.</w:t>
      </w:r>
    </w:p>
    <w:p>
      <w:pPr>
        <w:ind w:left="0" w:right="0"/>
      </w:pPr>
      <w:r>
        <w:rPr>
          <w:b/>
          <w:bCs/>
        </w:rPr>
        <w:t xml:space="preserve">(3)</w:t>
      </w:r>
      <w:r>
        <w:rPr/>
        <w:t xml:space="preserve">  Pokud Evropská komise ani žádný z členských států Evropské unie nevznese ve lhůtě stanovené přímo použitelným předpisem pro stavební výrobky</w:t>
      </w:r>
      <w:r>
        <w:rPr>
          <w:vertAlign w:val="superscript"/>
        </w:rPr>
        <w:t xml:space="preserve">12</w:t>
      </w:r>
      <w:r>
        <w:rPr/>
        <w:t xml:space="preserve">)</w:t>
      </w:r>
      <w:r>
        <w:rPr/>
        <w:t xml:space="preserve"> proti oznámení podle odstavce  2 námitku, Úřad vydá žadateli nejpozději do 2 pracovních dnů od uplynutí této lhůty doklad o udělení oprávnění</w:t>
      </w:r>
      <w:r>
        <w:rPr>
          <w:vertAlign w:val="superscript"/>
        </w:rPr>
        <w:t xml:space="preserve">13</w:t>
      </w:r>
      <w:r>
        <w:rPr/>
        <w:t xml:space="preserve">)</w:t>
      </w:r>
      <w:r>
        <w:rPr/>
        <w:t xml:space="preserve">. Úřad následně zveřejní ve Věstníku Úřadu oznámení o udělení oprávnění, včetně rozsahu oprávnění, data, od kterého může subjekt provádět činnosti oznámeného subjektu, identifikačního čísla oznámeného subjektu přiděleného podle přímo použitelného předpisu pro stavební výrobky a čísla a data vydání dokladu o udělení oprávnění.</w:t>
      </w:r>
    </w:p>
    <w:p>
      <w:pPr>
        <w:ind w:left="0" w:right="0"/>
      </w:pPr>
      <w:r>
        <w:rPr>
          <w:b/>
          <w:bCs/>
        </w:rPr>
        <w:t xml:space="preserve">(4)</w:t>
      </w:r>
      <w:r>
        <w:rPr/>
        <w:t xml:space="preserve">  Pokud Evropská komise nebo některý členský stát Evropské unie vznese ve lhůtě stanovené přímo použitelným předpisem pro stavební výrobky</w:t>
      </w:r>
      <w:r>
        <w:rPr>
          <w:vertAlign w:val="superscript"/>
        </w:rPr>
        <w:t xml:space="preserve">12</w:t>
      </w:r>
      <w:r>
        <w:rPr/>
        <w:t xml:space="preserve">)</w:t>
      </w:r>
      <w:r>
        <w:rPr/>
        <w:t xml:space="preserve"> proti oznámení podle odstavce  2 námitku, Úřad vyzve žadatele, aby přijal vhodná opatření za účelem odstranění nedostatků, a poskytne mu k tomu přiměřenou lhůtu. Odstraní-li žadatel nedostatky v určené lhůtě, sdělí tuto skutečnost bez zbytečného odkladu Úřadu. Pokud Úřad dospěje k závěru, že žadatel nedostatky odstranil, provede znovu oznámení podle odstavce  2. Jestliže žadatel v určené lhůtě nedostatky neodstraní, Úřad žádost zamítne.</w:t>
      </w:r>
    </w:p>
    <w:p>
      <w:pPr>
        <w:ind w:left="0" w:right="0"/>
      </w:pPr>
      <w:r>
        <w:rPr>
          <w:b/>
          <w:bCs/>
        </w:rPr>
        <w:t xml:space="preserve">(5)</w:t>
      </w:r>
      <w:r>
        <w:rPr/>
        <w:t xml:space="preserve">  Úřad kontroluje, zda oznámený subjekt</w:t>
      </w:r>
      <w:r>
        <w:rPr>
          <w:vertAlign w:val="superscript"/>
        </w:rPr>
        <w:t xml:space="preserve">14</w:t>
      </w:r>
      <w:r>
        <w:rPr/>
        <w:t xml:space="preserve">)</w:t>
      </w:r>
      <w:r>
        <w:rPr/>
        <w:t xml:space="preserve"> dodržuje povinnosti a splňuje požadavky na oznámený subjekt stanovené přímo použitelným předpisem pro stavební výrobky. Nedodržuje-li oznámený subjekt stanovené povinnosti nebo nesplňuje-li příslušné požadavky, Úřad podle závažnosti neplnění těchto požadavků oprávnění oznámeného subjektu částečně anebo úplně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zruší.</w:t>
      </w:r>
    </w:p>
    <w:p>
      <w:pPr>
        <w:ind w:left="0" w:right="0"/>
      </w:pPr>
      <w:r>
        <w:rPr>
          <w:b/>
          <w:bCs/>
        </w:rPr>
        <w:t xml:space="preserve">(6)</w:t>
      </w:r>
      <w:r>
        <w:rPr/>
        <w:t xml:space="preserve">  Odvolání proti rozhodnutí Úřadu o pozastavení nebo zrušení oprávnění nemá odkladný účinek. Úřad rozhodne o pozastavení nebo zrušení oprávnění též na žádost oznámeného subjektu. Oznámení o pozastavení nebo zrušení oprávnění zveřejní Úřad ve Věstníku Úřadu.</w:t>
      </w:r>
    </w:p>
    <w:p>
      <w:pPr>
        <w:ind w:left="0" w:right="0"/>
      </w:pPr>
      <w:r>
        <w:rPr>
          <w:b/>
          <w:bCs/>
        </w:rPr>
        <w:t xml:space="preserve">(7)</w:t>
      </w:r>
      <w:r>
        <w:rPr/>
        <w:t xml:space="preserve">  V rozhodnutí o pozastavení oprávnění stanoví Úřad lhůtu pro zjednání nápravy. Zjedná-li oznámený subjekt nápravu, sdělí tuto skutečnost bez zbytečného odkladu Úřadu. Shledá-li Úřad zjednání nápravy za dostatečné, rozhodnutí o pozastavení oprávnění zruší. Jestliže oznámený subjekt ve stanovené lhůtě nápravu nezjedná, rozhodne Úřad o zrušení oprávnění.</w:t>
      </w:r>
    </w:p>
    <w:p>
      <w:pPr>
        <w:ind w:left="0" w:right="0"/>
      </w:pPr>
      <w:r>
        <w:rPr>
          <w:b/>
          <w:bCs/>
        </w:rPr>
        <w:t xml:space="preserve">(8)</w:t>
      </w:r>
      <w:r>
        <w:rPr/>
        <w:t xml:space="preserve">  V případě, že bylo oznámenému subjektu pravomocně zrušeno jeho oprávnění, je tento subjekt povinen odevzdat Úřadu veškeré dokumenty, týkající se provádění činností oznámeného subjektu. V případě pravomocného pozastavení oprávnění je oznámený subjekt povinen předat dokumenty podle věty první Úřadu, pokud je k tomu Úřadem vyzván.</w:t>
      </w:r>
    </w:p>
    <w:p>
      <w:pPr>
        <w:ind w:left="0" w:right="0"/>
      </w:pPr>
      <w:r>
        <w:rPr>
          <w:b/>
          <w:bCs/>
        </w:rPr>
        <w:t xml:space="preserve">(9)</w:t>
      </w:r>
      <w:r>
        <w:rPr/>
        <w:t xml:space="preserve">  Na oznámené subjekty se nevztahuje § 11 a 11a.</w:t>
      </w:r>
    </w:p>
    <w:p>
      <w:pPr>
        <w:ind w:left="0" w:right="0"/>
      </w:pPr>
      <w:r>
        <w:rPr>
          <w:b/>
          <w:bCs/>
        </w:rPr>
        <w:t xml:space="preserve">(10)</w:t>
      </w:r>
      <w:r>
        <w:rPr/>
        <w:t xml:space="preserve">  Úřad zajistí, aby byly oznámené subjekty pravidelně informovány o předmětu a výsledcích jednání skupiny oznámených subjektů, zřízené podle přímo použitelného předpisu pro stavební výrobky, případně aby se jednání této skupiny mohl účastnit zástupce oznámených subjektů.</w:t>
      </w:r>
    </w:p>
    <w:p>
      <w:pPr>
        <w:pStyle w:val="Heading3"/>
      </w:pPr>
      <w:r>
        <w:rPr>
          <w:b/>
          <w:bCs/>
        </w:rPr>
        <w:t xml:space="preserve">§ 11c</w:t>
      </w:r>
      <w:r>
        <w:rPr>
          <w:rStyle w:val="hidden"/>
        </w:rPr>
        <w:t xml:space="preserve"> -</w:t>
      </w:r>
      <w:br/>
      <w:r>
        <w:rPr/>
        <w:t xml:space="preserve">Subjekty pro technické posuzování</w:t>
      </w:r>
    </w:p>
    <w:p>
      <w:pPr>
        <w:ind w:left="0" w:right="0"/>
      </w:pPr>
      <w:r>
        <w:rPr>
          <w:b/>
          <w:bCs/>
        </w:rPr>
        <w:t xml:space="preserve">(1)</w:t>
      </w:r>
      <w:r>
        <w:rPr/>
        <w:t xml:space="preserve">  Ministerstvo může pověřit právnickou osobu na základě její žádosti výkonem činností subjektu pro technické posuzování</w:t>
      </w:r>
      <w:r>
        <w:rPr>
          <w:vertAlign w:val="superscript"/>
        </w:rPr>
        <w:t xml:space="preserve">15</w:t>
      </w:r>
      <w:r>
        <w:rPr/>
        <w:t xml:space="preserve">)</w:t>
      </w:r>
      <w:r>
        <w:rPr/>
        <w:t xml:space="preserve">, pokud splňuje požadavky stanovené přímo použitelným předpisem pro stavební výrobky.</w:t>
      </w:r>
    </w:p>
    <w:p>
      <w:pPr>
        <w:ind w:left="0" w:right="0"/>
      </w:pPr>
      <w:r>
        <w:rPr>
          <w:b/>
          <w:bCs/>
        </w:rPr>
        <w:t xml:space="preserve">(2)</w:t>
      </w:r>
      <w:r>
        <w:rPr/>
        <w:t xml:space="preserve">  Ministerstvo kontroluje, zda subjekt pro technické posuzování dodržuje povinnosti a splňuje požadavky stanovené přímo použitelným předpisem pro stavební výrobky. V případě, že subjekt pro technické posuzování tyto povinnosti a požadavky neplní, Ministerstvo zruší jeho pověření k výkonu činností subjektu pro technické posuzování.</w:t>
      </w:r>
    </w:p>
    <w:p>
      <w:pPr>
        <w:ind w:left="0" w:right="0"/>
      </w:pPr>
      <w:r>
        <w:rPr>
          <w:b/>
          <w:bCs/>
        </w:rPr>
        <w:t xml:space="preserve">(3)</w:t>
      </w:r>
      <w:r>
        <w:rPr/>
        <w:t xml:space="preserve">  Ministerstvo v souladu s přímo použitelným předpisem pro stavební výrobky oznamuje Evropské komisi a členským státům Evropské unie název a sídlo pověřeného subjektu pro technické posuzování a skupiny výrobků, pro které byl subjekt pro technické posuzování pověřen, každou změnu těchto údajů, jakož i zrušení pověření. Ministerstvo dále informuje Evropskou komisi o vnitrostátním postupu pro určení subjektů pro technické posuzování, o kontrole jejich činnosti a způsobilosti a o veškerých změnách těchto informací.</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pPr>
        <w:ind w:left="0" w:right="0"/>
      </w:pPr>
      <w:r>
        <w:rPr>
          <w:b/>
          <w:bCs/>
        </w:rPr>
        <w:t xml:space="preserve">(10)</w:t>
      </w:r>
      <w:r>
        <w:rPr/>
        <w:t xml:space="preserve">  Výrobce nebo dovozce činí u výrobků stanovených nařízením vlády a s ohledem na jejich povahu a rizika, která tyto výrobky představují, opatření za účelem ochrany zdraví a bezpečnosti osob.</w:t>
      </w:r>
    </w:p>
    <w:p>
      <w:pPr>
        <w:ind w:left="0" w:right="0"/>
      </w:pPr>
      <w:r>
        <w:rPr>
          <w:b/>
          <w:bCs/>
        </w:rPr>
        <w:t xml:space="preserve">(11)</w:t>
      </w:r>
      <w:r>
        <w:rPr/>
        <w:t xml:space="preserve">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pPr>
        <w:ind w:left="0" w:right="0"/>
      </w:pPr>
      <w:r>
        <w:rPr>
          <w:b/>
          <w:bCs/>
        </w:rPr>
        <w:t xml:space="preserve">(12)</w:t>
      </w:r>
      <w:r>
        <w:rPr/>
        <w:t xml:space="preserve">  Výrobce, dovozce, distributor nebo zplnomocněný zástupce uchovává u výrobků stanovených nařízením vlády údaje potřebné k identifikaci všech hospodářských subjektů, které mu předaly stanovený výrobek a kterým předal stanovený výrobek.</w:t>
      </w:r>
    </w:p>
    <w:p>
      <w:pPr>
        <w:ind w:left="0" w:right="0"/>
      </w:pPr>
      <w:r>
        <w:rPr>
          <w:b/>
          <w:bCs/>
        </w:rPr>
        <w:t xml:space="preserve">(13)</w:t>
      </w:r>
      <w:r>
        <w:rPr/>
        <w:t xml:space="preserve">  Dovozce nebo distributor zajistí u výrobků stanovených nařízením vlády skladovací a přepravní podmínky, které neohrožují soulad stanoveného výrobku, který hodlá uvést nebo dodat na trh, s požadavky tohoto zákona.</w:t>
      </w:r>
    </w:p>
    <w:p>
      <w:pPr>
        <w:ind w:left="0" w:right="0"/>
      </w:pPr>
      <w:r>
        <w:rPr>
          <w:b/>
          <w:bCs/>
        </w:rPr>
        <w:t xml:space="preserve">(14)</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ind w:left="0" w:right="0"/>
      </w:pPr>
      <w:r>
        <w:rPr>
          <w:b/>
          <w:bCs/>
        </w:rPr>
        <w:t xml:space="preserve">(15)</w:t>
      </w:r>
      <w:r>
        <w:rPr/>
        <w:t xml:space="preserve">  Odstavce 1 až 14 se nepoužijí pro stavební výrobky s označením CE, jejichž uvádění a dodávání na trh upravuje přímo použitelný předpis pro stavební výrobky.</w:t>
      </w:r>
    </w:p>
    <w:p>
      <w:pPr>
        <w:pStyle w:val="Heading4"/>
      </w:pPr>
      <w:r>
        <w:rPr>
          <w:b/>
          <w:bCs/>
        </w:rPr>
        <w:t xml:space="preserve">§ 13a</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4"/>
      </w:pPr>
      <w:r>
        <w:rPr>
          <w:b/>
          <w:bCs/>
        </w:rPr>
        <w:t xml:space="preserve">§ 13c</w:t>
      </w:r>
    </w:p>
    <w:p>
      <w:pPr>
        <w:ind w:left="0" w:right="0"/>
      </w:pPr>
      <w:r>
        <w:rPr/>
        <w:t xml:space="preserve">Je-li stavební výrobek s označením CE uváděn nebo dodáván na trh v České republice, musí být prohlášení o vlastnostech poskytované k tomuto výrobku a pokyny a bezpečnostní informace připojované k tomuto výrobku v českém jazyce.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pStyle w:val="Heading3"/>
      </w:pPr>
      <w:r>
        <w:rPr>
          <w:b/>
          <w:bCs/>
        </w:rPr>
        <w:t xml:space="preserve">§ 16</w:t>
      </w:r>
      <w:r>
        <w:rPr>
          <w:rStyle w:val="hidden"/>
        </w:rPr>
        <w:t xml:space="preserve"> -</w:t>
      </w:r>
      <w:br/>
      <w:r>
        <w:rPr/>
        <w:t xml:space="preserve">Udělení akreditace</w:t>
      </w:r>
    </w:p>
    <w:p>
      <w:pPr>
        <w:ind w:left="0" w:right="0"/>
      </w:pPr>
      <w:r>
        <w:rPr>
          <w:b/>
          <w:bCs/>
        </w:rPr>
        <w:t xml:space="preserve">(1)</w:t>
      </w:r>
      <w:r>
        <w:rPr/>
        <w:t xml:space="preserve"> O udělení akreditace rozhoduje na žádost subjektu posuzování shody akreditační orgán. Udělení akreditace a existence oprávnění vystupovat jako akreditovaný subjekt posuzování shody v rozsahu udělené akreditace se dokládá osvědčením o akreditaci (dále jen „osvědčení“).</w:t>
      </w:r>
    </w:p>
    <w:p>
      <w:pPr>
        <w:ind w:left="0" w:right="0"/>
      </w:pPr>
      <w:r>
        <w:rPr>
          <w:b/>
          <w:bCs/>
        </w:rPr>
        <w:t xml:space="preserve">(2)</w:t>
      </w:r>
      <w:r>
        <w:rPr/>
        <w:t xml:space="preserve"> Žádost musí, kromě obecných náležitostí podání, obsahovat rozsah činností posuzování shody, pro které má být akreditace udělena (dále jen „rozsah akreditace“). Akreditační orgán si může vyžádat další informace nebo dokumenty, pokud jsou k posouzení požadovaného rozsahu akreditace nezbytné.</w:t>
      </w:r>
    </w:p>
    <w:p>
      <w:pPr>
        <w:ind w:left="0" w:right="0"/>
      </w:pPr>
      <w:r>
        <w:rPr>
          <w:b/>
          <w:bCs/>
        </w:rPr>
        <w:t xml:space="preserve">(3)</w:t>
      </w:r>
      <w:r>
        <w:rPr/>
        <w:t xml:space="preserve">  Akreditační orgán udělí akreditaci subjektu posuzování shody, který prokáže, že splňuje požadavky pro provádění konkrétní činnosti posuzování shody, které stanoví harmonizované normy, případně jiné dokumenty platné pro oblast posuzování shody (dále jen „akreditační požadavky“). Při posuzování žádosti zohlední akreditační orgán i dřívější akreditace, které byly udělené témuž subjektu posuzování shody. Pokud subjekt posuzování shody akreditační požadavky nesplňuje, akreditační orgán rozhodnutím žádost o udělení akreditace zamítne. Pokud tak nelze učinit bezodkladně, je akreditační orgán povinen o žádosti rozhodnout nejpozději do 120 dnů od zahájení řízení. Ve zvlášť složitých případech lze tuto lhůtu prodloužit o dalších 90 dnů.</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obsahuje označení akreditačního orgánu a subjektu posuzování shody, vymezení rozsahu udělené akreditace, výčet harmonizovaných norem nebo jiných dokumentů, použitých při posuzování žádosti o akreditaci, a dobu platnosti akreditace. Osvědčení musí dále obsahovat číslo osvědčení, datum vyhotovení, otisk úředního razítka, jméno, příjmení, funkci a podpis oprávněné úřední osoby. Osvědčení lze na požádání vydat též v cizím jazyce. Oznámení o udělení akreditace se zveřejňuje ve Věstníku Úřadu. Akreditační orgán zveřejní informaci o udělení akreditace též způsobem umožňujícím dálkový přístup.</w:t>
      </w:r>
    </w:p>
    <w:p>
      <w:pPr>
        <w:ind w:left="0" w:right="0"/>
      </w:pPr>
      <w:r>
        <w:rPr>
          <w:b/>
          <w:bCs/>
        </w:rPr>
        <w:t xml:space="preserve">(6)</w:t>
      </w:r>
      <w:r>
        <w:rPr/>
        <w:t xml:space="preserve">  Akreditační orgán prověřuje následně u subjektu posuzování shody, na jeho náklady, plnění akreditačních požadavků. Pokud akreditační orgán zjistí, že subjekt posuzování shody nesplňuje akreditační požadavky, na jejichž základě mu byla udělena akreditace, rozhodne o pozastavení akreditace a stanoví lhůtu pro zjednání nápravy. Jestli subjekt posuzování shody ve stanovené lhůtě nezjedná nápravu, akreditační orgán rozhodne o omezení rozsahu akreditace nebo o jejím zrušení. Rozhodne-li akreditační orgán o omezení rozsahu akreditace, vydá subjektu posuzování shody tomu odpovídající osvědčení nahrazující dříve vydané osvědčení. Pro rozhodnutí o pozastavení nebo zrušení akreditace platí odstavec  5 věty čtvrtá a pátá obdobně.</w:t>
      </w:r>
    </w:p>
    <w:p>
      <w:pPr>
        <w:ind w:left="0" w:right="0"/>
      </w:pPr>
      <w:r>
        <w:rPr>
          <w:b/>
          <w:bCs/>
        </w:rPr>
        <w:t xml:space="preserve">(7)</w:t>
      </w:r>
      <w:r>
        <w:rPr/>
        <w:t xml:space="preserve">  Akreditační orgán rozhodne na žádost subjektu posuzování shody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rozšíření rozsahu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omezení rozsahu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prodloužení platnosti udělené akreditace,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sloučení platných osvědčení vydaných pro týž subjekt posuzování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pozastavení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zrušení akreditace,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rozhodnutí o pozastavení akreditace.</w:t>
      </w:r>
    </w:p>
    <w:p>
      <w:pPr>
        <w:ind w:left="0" w:right="0"/>
      </w:pPr>
      <w:r>
        <w:rPr/>
        <w:t xml:space="preserve">V řízeních o žádosti podle písmen a) až d) a g) se postupuje podle odstavců 1 až 5 obdobně; nová osvědčení nahrazují dříve vydaná osvědčení. Žádost podle písmene c) je třeba podat nejpozději 120 dnů před skončením platnosti udělené akreditace. V řízeních podle písmene d) využije akreditační orgán podkladů rozhodnutí z řízení o žádostech o udělení akreditace. Neurčí-li akreditační orgán, že účinky nového rozhodnutí, jímž vyhověl žádosti podle písmen a) až f), nastávají jindy, brání právní moc tohoto rozhodnutí účinkům dosavadních rozhodnutí. Na požádání subjektu posuzování shody zaznamená akreditační orgán jiné změny údajů ve spisu a vydá nové osvědčení.</w:t>
      </w:r>
    </w:p>
    <w:p>
      <w:pPr>
        <w:ind w:left="0" w:right="0"/>
      </w:pPr>
      <w:r>
        <w:rPr>
          <w:b/>
          <w:bCs/>
        </w:rPr>
        <w:t xml:space="preserve">(8)</w:t>
      </w:r>
      <w:r>
        <w:rPr/>
        <w:t xml:space="preserve">  O odvolání proti rozhodnutí akreditačního orgánu o zamítnutí žádosti o udělení akreditace, o pozastavení akreditace, o zrušení akreditace, o zamítnutí žádosti o rozšíření rozsahu akreditace, o zamítnutí žádosti o prodloužení platnosti udělené akreditace a o zamítnutí žádosti o zrušení rozhodnutí o pozastavení akreditace rozhoduje Ministerstvo. O odvolání proti ostatním rozhodnutím a usnesením akreditačního orgánu rozhoduje statutární orgán akreditačního orgánu. Odvolání nemá odkladný účinek.</w:t>
      </w:r>
    </w:p>
    <w:p>
      <w:pPr>
        <w:ind w:left="0" w:right="0"/>
      </w:pPr>
      <w:r>
        <w:rPr>
          <w:b/>
          <w:bCs/>
        </w:rPr>
        <w:t xml:space="preserve">(9)</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 V tomto případě nahradí subjekt posuzování shody akreditačnímu orgánu skutečně vynaložené náklady spojené s prošetřením stížnosti.</w:t>
      </w:r>
    </w:p>
    <w:p>
      <w:pPr>
        <w:pStyle w:val="Heading3"/>
      </w:pPr>
      <w:r>
        <w:rPr>
          <w:b/>
          <w:bCs/>
        </w:rPr>
        <w:t xml:space="preserve">§ 17</w:t>
      </w:r>
      <w:r>
        <w:rPr>
          <w:rStyle w:val="hidden"/>
        </w:rPr>
        <w:t xml:space="preserve"> -</w:t>
      </w:r>
      <w:br/>
      <w:r>
        <w:rPr/>
        <w:t xml:space="preserve">Veřejnoprávní smlouva o akreditaci</w:t>
      </w:r>
    </w:p>
    <w:p>
      <w:pPr>
        <w:ind w:left="0" w:right="0"/>
      </w:pPr>
      <w:r>
        <w:rPr/>
        <w:t xml:space="preserve">Akreditační orgán může se subjektem posuzování shody uzavřít veřejnoprávní smlouvu o udělení akreditace, o rozšíření rozsahu akreditace, o omezení rozsahu akreditace, o prodloužení platnosti udělené akreditace nebo o sloučení platných osvědčení vydaných pro týž subjekt posuzování shody. Veřejnoprávní smlouva nahrazuje postup při vyřizování žádosti podle § 16 odst.  1 nebo § 16 odst.  7 písm.  a), b), c) nebo d). Pro veřejnoprávní smlouvy se § 16 odst.  1 věta druhá, § 16 odst.  3 věta druhá, § 16 odst.  4 věta první a § 16 odst.  5, 6 a 9 použije obdobně. Návrh na uzavření veřejnoprávní smlouvy o prodloužení platnosti udělené akreditace musí být subjektem podán nejpozději 120 dnů před skončením platnosti udělené akreditace.</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zda jsou stavební výrobky s označením CE uváděny a dodávány na trh v souladu s přímo použitelným předpisem pro stavební výrobky, zda hospodářské subjekty plní své povinnosti stanovené tímto zákonem a přímo použitelným předpisem pro stavební výrobky,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rozbory nebo zajistit provedení rozborů k ověření toho, zda výrobky plní požadavky tohoto zákona nebo přímo použitelného předpisu pro stavební výrobky; provedení těchto rozborů se zajišťuje u příslušných orgánů nebo osob; pokud bylo rozborem zjištěno, že výrobek nesplňuje požadavky tohoto zákona nebo přímo použitelného předpisu pro stavební výrobky, hradí náklady na provedení rozboru kontrolovaná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povinnost bezodkladně informovat o nebezpečí osoby, které by mohly být vystaveny nebezpečí plynoucímu z výrobku.</w:t>
      </w:r>
    </w:p>
    <w:p>
      <w:pPr>
        <w:ind w:left="0" w:right="0"/>
      </w:pPr>
      <w:r>
        <w:rPr>
          <w:b/>
          <w:bCs/>
        </w:rPr>
        <w:t xml:space="preserve">(3)</w:t>
      </w:r>
      <w:r>
        <w:rPr/>
        <w:t xml:space="preserve">  Orgán dozoru může, má-li důvodné pochybnosti, že stanovený výrobek nesplňuje technické požadavky stanovené v příslušném nařízení vlády podle § 12 odst.  1 písm.  b), požadovat od autorizované osoby informace a dokumenty, týkající se posuzování shody tohoto výrobku, včetně certifikátu vydaného podle § 11a odst.  2 písm.  c) bodu 1, technické dokumentace a protokolů o zkouškách. Kromě toho může dát orgán dozoru autorizované osobě podnět, aby přezkoumala certifikát vydaný podle § 11a odst.  2 písm.  c) bodu 1. V případě, že se prokáže, že stanovený výrobek nesplňuje požadavky podle věty první, orgán dozoru oznámí tuto skutečnost příslušné autorizované osobě. Zároveň jí může uložit, aby odebrala certifikát vydaný podle § 11a odst.  2 písm.  c) bodu 1.</w:t>
      </w:r>
    </w:p>
    <w:p>
      <w:pPr>
        <w:ind w:left="0" w:right="0"/>
      </w:pPr>
      <w:r>
        <w:rPr>
          <w:b/>
          <w:bCs/>
        </w:rPr>
        <w:t xml:space="preserve">(4)</w:t>
      </w:r>
      <w:r>
        <w:rPr/>
        <w:t xml:space="preserve">  Má-li orgán dozoru důvodné pochybnosti, že stavební výrobek s označením CE nesplňuje požadavky stanovené přímo použitelným předpisem pro stavební výrobky, může požadovat od příslušného oznámeného subjektu informace a dokumenty, týkající se posouzení a ověření stálosti vlastností tohoto výrobku, včetně vydaného osvědčení, technické dokumentace a protokolů o zkouškách. Pokud orgán dozoru zjistí, že stavební výrobek s označením CE nesplňuje požadavky podle odstavce  1, informuje o tom oznámený subjekt, který se podílel na posouzení a ověření stálosti vlastností tohoto výrobku.</w:t>
      </w:r>
    </w:p>
    <w:p>
      <w:pPr>
        <w:ind w:left="0" w:right="0"/>
      </w:pPr>
      <w:r>
        <w:rPr>
          <w:b/>
          <w:bCs/>
        </w:rPr>
        <w:t xml:space="preserve">(5)</w:t>
      </w:r>
      <w:r>
        <w:rPr/>
        <w:t xml:space="preserve">  Pokud se v přímo použitelném předpisu pro stavební výrobky mluví o příslušném vnitrostátním orgánu</w:t>
      </w:r>
      <w:r>
        <w:rPr>
          <w:vertAlign w:val="superscript"/>
        </w:rPr>
        <w:t xml:space="preserve">16</w:t>
      </w:r>
      <w:r>
        <w:rPr/>
        <w:t xml:space="preserve">)</w:t>
      </w:r>
      <w:r>
        <w:rPr/>
        <w:t xml:space="preserve">, je tímto orgánem v České republice orgán dozoru.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nebo přímo použitelného předpisu pro stavební výrobky, zakáže uvádění na trh, uvádění do provozu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3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přímo použitelného předpisu pro stavební výrobky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distribuce.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r>
        <w:rPr>
          <w:rStyle w:val="hidden"/>
        </w:rPr>
        <w:t xml:space="preserve"> -</w:t>
      </w:r>
      <w:br/>
      <w:r>
        <w:rPr/>
        <w:t xml:space="preserve">Oznamovací povinnost</w:t>
      </w:r>
    </w:p>
    <w:p>
      <w:pPr>
        <w:jc w:val="center"/>
        <w:ind w:left="0" w:right="0"/>
      </w:pPr>
      <w:r>
        <w:rPr>
          <w:b/>
          <w:bCs/>
        </w:rPr>
        <w:t xml:space="preserve">(1)</w:t>
      </w:r>
      <w:r>
        <w:rPr/>
        <w:t xml:space="preserve">  Orgány dozoru jsou povinny oznámit Ministerstvu přijetí opatření týkající se výrobku nebo série výrobku v případech, kdy výrobek představuje vážné riziko</w:t>
      </w:r>
      <w:r>
        <w:rPr>
          <w:vertAlign w:val="superscript"/>
        </w:rPr>
        <w:t xml:space="preserve">4e</w:t>
      </w:r>
      <w:r>
        <w:rPr/>
        <w:t xml:space="preserve">)</w:t>
      </w:r>
      <w:r>
        <w:rPr/>
        <w:t xml:space="preserve">. To platí i v případě opatření, které přijme kontrolovaná osoba z vlastní iniciativy a orgán dozoru obdrží informaci o tomto opatření.</w:t>
      </w:r>
    </w:p>
    <w:p>
      <w:pPr>
        <w:ind w:left="0" w:right="0"/>
      </w:pPr>
      <w:r>
        <w:rPr>
          <w:b/>
          <w:bCs/>
        </w:rPr>
        <w:t xml:space="preserve">(2)</w:t>
      </w:r>
      <w:r>
        <w:rPr/>
        <w:t xml:space="preserve">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pPr>
        <w:ind w:left="0" w:right="0"/>
      </w:pPr>
      <w:r>
        <w:rPr>
          <w:b/>
          <w:bCs/>
        </w:rPr>
        <w:t xml:space="preserve">(3)</w:t>
      </w:r>
      <w:r>
        <w:rPr/>
        <w:t xml:space="preserve">  Pokud ohrožení podle odstavce  1 přesáhne území České republiky, Ministerstvo je povinno neprodleně informovat o výskytu takového výrobku Komisi Evropských společenství.</w:t>
      </w:r>
    </w:p>
    <w:p>
      <w:pPr>
        <w:ind w:left="0" w:right="0"/>
      </w:pPr>
      <w:r>
        <w:rPr>
          <w:b/>
          <w:bCs/>
        </w:rPr>
        <w:t xml:space="preserve">(4)</w:t>
      </w:r>
      <w:r>
        <w:rPr/>
        <w:t xml:space="preserve">  Obdrží-li Ministerstvo od Komise Evropských společenství informaci o přijetí opatření vůči výrobku nebo sérii výrobků představujícím vážné riziko, předá tyto informace bez zbytečného odkladu orgánům dozoru k dalšímu postupu.</w:t>
      </w:r>
    </w:p>
    <w:p>
      <w:pPr>
        <w:ind w:left="0" w:right="0"/>
      </w:pPr>
      <w:r>
        <w:rPr>
          <w:b/>
          <w:bCs/>
        </w:rPr>
        <w:t xml:space="preserve">(5)</w:t>
      </w:r>
      <w:r>
        <w:rPr/>
        <w:t xml:space="preserve">  K zajištění fungování systému výměny informací podle odstavců 1 až 3 se obdobně použije zvláštní právní předpis upravující postupy, obsah a formu informace o výskytu nebezpečných nepotravinářských výrobků</w:t>
      </w:r>
      <w:r>
        <w:rPr>
          <w:vertAlign w:val="superscript"/>
        </w:rPr>
        <w:t xml:space="preserve">4f</w:t>
      </w:r>
      <w:r>
        <w:rPr/>
        <w:t xml:space="preserve">)</w:t>
      </w:r>
      <w:r>
        <w:rPr/>
        <w:t xml:space="preserve">.</w:t>
      </w:r>
    </w:p>
    <w:p>
      <w:pPr>
        <w:ind w:left="0" w:right="0"/>
      </w:pPr>
      <w:r>
        <w:rPr>
          <w:b/>
          <w:bCs/>
        </w:rPr>
        <w:t xml:space="preserve">(6)</w:t>
      </w:r>
      <w:r>
        <w:rPr/>
        <w:t xml:space="preserve">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pPr>
        <w:ind w:left="0" w:right="0"/>
      </w:pPr>
      <w:r>
        <w:rPr>
          <w:b/>
          <w:bCs/>
        </w:rPr>
        <w:t xml:space="preserve">(7)</w:t>
      </w:r>
      <w:r>
        <w:rPr/>
        <w:t xml:space="preserve">  Odstavce 1 až 6 se nepoužijí pro stavební výrobky s označením CE.</w:t>
      </w:r>
    </w:p>
    <w:p>
      <w:pPr>
        <w:pStyle w:val="Heading3"/>
      </w:pPr>
      <w:r>
        <w:rPr>
          <w:b/>
          <w:bCs/>
        </w:rPr>
        <w:t xml:space="preserve">§ 18c</w:t>
      </w:r>
      <w:r>
        <w:rPr>
          <w:rStyle w:val="hidden"/>
        </w:rPr>
        <w:t xml:space="preserve"> -</w:t>
      </w:r>
      <w:br/>
      <w:r>
        <w:rPr/>
        <w:t xml:space="preserve">Poskytování informací o stavebních výrobcích s označením CE</w:t>
      </w:r>
    </w:p>
    <w:p>
      <w:pPr>
        <w:jc w:val="center"/>
        <w:ind w:left="0" w:right="0"/>
      </w:pPr>
      <w:r>
        <w:rPr>
          <w:b/>
          <w:bCs/>
        </w:rPr>
        <w:t xml:space="preserve">(1)</w:t>
      </w:r>
      <w:r>
        <w:rPr/>
        <w:t xml:space="preserve">  Pokud orgán dozoru zjistí, že stavební výrobek s označením CE nesplňuje požadavky stanovené přímo použitelným předpisem pro stavební výrobky, anebo že tento výrobek představuje ohrožení oprávněného zájmu, a nesoulad může ohrozit také oprávněné zájmy subjektů v členských státech Evropské unie, informuje o tom Evropskou komisi a příslušné orgány členských států Evropské unie.</w:t>
      </w:r>
    </w:p>
    <w:p>
      <w:pPr>
        <w:ind w:left="0" w:right="0"/>
      </w:pPr>
      <w:r>
        <w:rPr>
          <w:b/>
          <w:bCs/>
        </w:rPr>
        <w:t xml:space="preserve">(2)</w:t>
      </w:r>
      <w:r>
        <w:rPr/>
        <w:t xml:space="preserve">  Pokud orgán dozoru přijme vůči stavebnímu výrobku s označením CE opatření podle § 18 odst.  3 nebo 4, neprodleně o tom informuje Evropskou komisi a příslušné orgány členských států Evropské unie.</w:t>
      </w:r>
    </w:p>
    <w:p>
      <w:pPr>
        <w:ind w:left="0" w:right="0"/>
      </w:pPr>
      <w:r>
        <w:rPr>
          <w:b/>
          <w:bCs/>
        </w:rPr>
        <w:t xml:space="preserve">(3)</w:t>
      </w:r>
      <w:r>
        <w:rPr/>
        <w:t xml:space="preserve">  Rozsah informací poskytovaných podle odstavců  1 a 2 stanoví přímo použitelný předpis pro stavební výrobky.</w:t>
      </w:r>
    </w:p>
    <w:p>
      <w:pPr>
        <w:ind w:left="0" w:right="0"/>
      </w:pPr>
      <w:r>
        <w:rPr>
          <w:b/>
          <w:bCs/>
        </w:rPr>
        <w:t xml:space="preserve">(4)</w:t>
      </w:r>
      <w:r>
        <w:rPr/>
        <w:t xml:space="preserve">  Obdrží-li orgán dozoru od Evropské komise nebo příslušného orgánu členského státu Evropské unie oznámení o přijetí opatření vůči stavebnímu výrobku s označením CE, předá toto oznámení neprodleně Ministerstvu. Společně s tímto oznámením poskytne orgán dozoru Ministerstvu všechny informace o nesouladu tohoto výrobku s požadavky, stanovenými přímo použitelným předpisem pro stavební výrobky, jež má k dispozici, a informuje ho o všech opatřeních, která v souvislosti s tímto výrobkem již přijal. Ministerstvo poskytne tyto informace společně s případnými námitkami vůči opatřením, která byla přijata příslušnými orgány jiných členských států Evropské unie, neprodleně Evropské komisi a příslušným orgánům členských států Evropské unie.</w:t>
      </w:r>
    </w:p>
    <w:p>
      <w:pPr>
        <w:pStyle w:val="Heading3"/>
      </w:pPr>
      <w:r>
        <w:rPr>
          <w:b/>
          <w:bCs/>
        </w:rPr>
        <w:t xml:space="preserve">Správní delikty</w:t>
      </w:r>
    </w:p>
    <w:p>
      <w:pPr>
        <w:pStyle w:val="Heading4"/>
      </w:pPr>
      <w:r>
        <w:rPr>
          <w:b/>
          <w:bCs/>
        </w:rPr>
        <w:t xml:space="preserve">§ 19</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anebo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16 odst. 1 vystupuje jako akreditovaný subjekt posuzování shody bez udělené akreditace nebo mimo rozsah udělené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některé z ochranných opatření vydaných podle § 18a odst.  1, 3 nebo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uložených orgánem dozoru podle § 18 odst.  2 písm.  b) nebo c).</w:t>
      </w:r>
    </w:p>
    <w:p>
      <w:pPr>
        <w:ind w:left="0" w:right="0"/>
      </w:pPr>
      <w:r>
        <w:rPr>
          <w:b/>
          <w:bCs/>
        </w:rPr>
        <w:t xml:space="preserve">(2)</w:t>
      </w:r>
      <w:r>
        <w:rPr/>
        <w:t xml:space="preserve">  Autorizovaná osoba se dopustí správního deliktu tím, že nesplní některou z povinností podle § 11 odst.  7 nebo § 11a odst.  2.</w:t>
      </w:r>
    </w:p>
    <w:p>
      <w:pPr>
        <w:ind w:left="0" w:right="0"/>
      </w:pPr>
      <w:r>
        <w:rPr>
          <w:b/>
          <w:bCs/>
        </w:rPr>
        <w:t xml:space="preserve">(3)</w:t>
      </w:r>
      <w:r>
        <w:rPr/>
        <w:t xml:space="preserve">  Výrobce, dovozce, zplnomocněný zástupce nebo distributor se dopustí správního deliktu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0" w:right="0"/>
      </w:pPr>
      <w:r>
        <w:rPr>
          <w:b/>
          <w:bCs/>
        </w:rPr>
        <w:t xml:space="preserve">(4)</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dovozce nesplní povinnost podle § 13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nesplní některou z povinností podle § 13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 nebo dovozce nesplní některou z povinností podle § 13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dovozce nebo distributor nesplní některou z povinností podle § 13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výrobce, dovozce, distributor nebo zplnomocněný zástupce nesplní povinnost podle § 13 odst.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dovozce nebo distributor nesplní povinnost podle § 13 odst.  13.</w:t>
      </w:r>
    </w:p>
    <w:p>
      <w:pPr>
        <w:ind w:left="0" w:right="0"/>
      </w:pPr>
      <w:r>
        <w:rPr>
          <w:b/>
          <w:bCs/>
        </w:rPr>
        <w:t xml:space="preserve">(5)</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výrobce, dovozce nebo zplnomocněný zástupce podle přímo použitelného předpisu pro stavební výrobky nesplní některou z povinností podle přímo použitelného předpisu pro stavební výrobky,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podle přímo použitelného předpisu pro stavební výrobky nesplní některou z povinností podle přímo použitelného předpisu pro stavební výrobky.</w:t>
      </w:r>
    </w:p>
    <w:p>
      <w:pPr>
        <w:ind w:left="0" w:right="0"/>
      </w:pPr>
      <w:r>
        <w:rPr>
          <w:b/>
          <w:bCs/>
        </w:rPr>
        <w:t xml:space="preserve">(6)</w:t>
      </w:r>
      <w:r>
        <w:rPr/>
        <w:t xml:space="preserve">  Právnická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11b odst.  1 provede činnosti oznámeného subjektu bez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oznámený subjekt nesplní některou z informačních povinností oznámeného subjektu podle přímo použitelného předpisu pro stavební výrobky,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oznámený subjekt v rozporu s přímo použitelným předpisem pro stavební výrobky vydá osvědčení bez splnění podmínek podle přímo použitelného předpisu pro stavební výrobky,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nesplní povinnost omezit, pozastavit platnost nebo odejmout osvědčení podle přímo použitelného předpisu pro stavební výrobky.</w:t>
      </w:r>
    </w:p>
    <w:p>
      <w:pPr>
        <w:ind w:left="0" w:right="0"/>
      </w:pPr>
      <w:r>
        <w:rPr>
          <w:b/>
          <w:bCs/>
        </w:rPr>
        <w:t xml:space="preserve">(7)</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správní delikt podle odstavce  1 písm.  f) nebo g) nebo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správní delikt podle odstavce  1 písm.  a), d) nebo e) nebo odstavce  6 písm.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správní delikt podle odstavce  1 písm.  b) nebo c), odstavce  2 nebo odstavce  6 písm.  b), c) nebo 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správní delikt podle odstavce  4 nebo 5.</w:t>
      </w:r>
    </w:p>
    <w:p>
      <w:pPr>
        <w:pStyle w:val="Heading4"/>
      </w:pPr>
      <w:r>
        <w:rPr>
          <w:b/>
          <w:bCs/>
        </w:rPr>
        <w:t xml:space="preserve">§ 19b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3 let ode dne, kdy se o něm dozvěděl, nejpozději však do 5 let ode dne, kdy byl spáchán.</w:t>
      </w:r>
    </w:p>
    <w:p>
      <w:pPr>
        <w:ind w:left="0" w:right="0"/>
      </w:pPr>
      <w:r>
        <w:rPr>
          <w:b/>
          <w:bCs/>
        </w:rPr>
        <w:t xml:space="preserve">(4)</w:t>
      </w:r>
      <w:r>
        <w:rPr/>
        <w:t xml:space="preserve">  Správní delikty podle § 19 odst.  1 písm.  b) a c), § 19a odst.  1 písm.  b) až e) a § 19a odst.  2 a 6 v prvním stupni projednává Úřad. Správní delikty podle § 19 odst.  1 písm.  a), § 19a odst.  1 písm.  a), f) a g) a § 19a odst.  3, 4 a 5 projednává orgán dozoru.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pStyle w:val="Heading3"/>
      </w:pPr>
      <w:r>
        <w:rPr>
          <w:b/>
          <w:bCs/>
        </w:rPr>
        <w:t xml:space="preserve">§ 20</w:t>
      </w:r>
      <w:r>
        <w:rPr>
          <w:rStyle w:val="hidden"/>
        </w:rPr>
        <w:t xml:space="preserve"> -</w:t>
      </w:r>
      <w:br/>
      <w:r>
        <w:rPr/>
        <w:t xml:space="preserve">Řízení</w:t>
      </w:r>
    </w:p>
    <w:p>
      <w:pPr>
        <w:ind w:left="0" w:right="0"/>
      </w:pPr>
      <w:r>
        <w:rPr/>
        <w:t xml:space="preserve">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1" w:history="1">
        <w:r>
          <w:rPr>
            <w:color w:val="darkblue"/>
            <w:u w:val="single"/>
          </w:rPr>
          <w:t xml:space="preserve">142/1991 Sb.</w:t>
        </w:r>
      </w:hyperlink>
      <w:r>
        <w:rPr/>
        <w:t xml:space="preserve">, ve znění zákona č. </w:t>
      </w:r>
      <w:hyperlink r:id="rId12"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3"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2 a 9, § 11a odst.  2, § 12, § 13 a § 18 odst.  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4" w:history="1">
        <w:r>
          <w:rPr>
            <w:color w:val="darkblue"/>
            <w:u w:val="single"/>
          </w:rPr>
          <w:t xml:space="preserve">64/1986 Sb.</w:t>
        </w:r>
      </w:hyperlink>
      <w:r>
        <w:rPr/>
        <w:t xml:space="preserve">, o České obchodní inspekci, ve znění zákona České národní rady č. </w:t>
      </w:r>
      <w:hyperlink r:id="rId15"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33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1"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34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8"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7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9"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20"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1" w:history="1">
        <w:r>
          <w:rPr>
            <w:color w:val="darkblue"/>
            <w:u w:val="single"/>
          </w:rPr>
          <w:t xml:space="preserve">§ 4</w:t>
        </w:r>
      </w:hyperlink>
      <w:r>
        <w:rPr>
          <w:sz w:val="19.200000000000003"/>
          <w:szCs w:val="19.200000000000003"/>
        </w:rPr>
        <w:t xml:space="preserve"> odst. 1 zákona č. </w:t>
      </w:r>
      <w:hyperlink r:id="rId20"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2" w:history="1">
        <w:r>
          <w:rPr>
            <w:color w:val="darkblue"/>
            <w:u w:val="single"/>
          </w:rPr>
          <w:t xml:space="preserve">§ 14</w:t>
        </w:r>
      </w:hyperlink>
      <w:r>
        <w:rPr>
          <w:sz w:val="19.200000000000003"/>
          <w:szCs w:val="19.200000000000003"/>
        </w:rPr>
        <w:t xml:space="preserve"> a </w:t>
      </w:r>
      <w:hyperlink r:id="rId23" w:history="1">
        <w:r>
          <w:rPr>
            <w:color w:val="darkblue"/>
            <w:u w:val="single"/>
          </w:rPr>
          <w:t xml:space="preserve">15</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38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4" w:history="1">
        <w:r>
          <w:rPr>
            <w:color w:val="darkblue"/>
            <w:u w:val="single"/>
          </w:rPr>
          <w:t xml:space="preserve">§ 13</w:t>
        </w:r>
      </w:hyperlink>
      <w:r>
        <w:rPr>
          <w:sz w:val="19.200000000000003"/>
          <w:szCs w:val="19.200000000000003"/>
        </w:rPr>
        <w:t xml:space="preserve"> odst. 2 písm. c), </w:t>
      </w:r>
      <w:hyperlink r:id="rId25" w:history="1">
        <w:r>
          <w:rPr>
            <w:color w:val="darkblue"/>
            <w:u w:val="single"/>
          </w:rPr>
          <w:t xml:space="preserve">§ 16</w:t>
        </w:r>
      </w:hyperlink>
      <w:r>
        <w:rPr>
          <w:sz w:val="19.200000000000003"/>
          <w:szCs w:val="19.200000000000003"/>
        </w:rPr>
        <w:t xml:space="preserve">, </w:t>
      </w:r>
      <w:hyperlink r:id="rId26" w:history="1">
        <w:r>
          <w:rPr>
            <w:color w:val="darkblue"/>
            <w:u w:val="single"/>
          </w:rPr>
          <w:t xml:space="preserve">20</w:t>
        </w:r>
      </w:hyperlink>
      <w:r>
        <w:rPr>
          <w:sz w:val="19.200000000000003"/>
          <w:szCs w:val="19.200000000000003"/>
        </w:rPr>
        <w:t xml:space="preserve"> a </w:t>
      </w:r>
      <w:hyperlink r:id="rId27" w:history="1">
        <w:r>
          <w:rPr>
            <w:color w:val="darkblue"/>
            <w:u w:val="single"/>
          </w:rPr>
          <w:t xml:space="preserve">21</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30/1968 Sb.</w:t>
        </w:r>
      </w:hyperlink>
      <w:r>
        <w:rPr/>
        <w:t xml:space="preserve">, o státním zkušebnictví, ve znění zákona č. </w:t>
      </w:r>
      <w:hyperlink r:id="rId28" w:history="1">
        <w:r>
          <w:rPr>
            <w:color w:val="darkblue"/>
            <w:u w:val="single"/>
          </w:rPr>
          <w:t xml:space="preserve">54/1987 Sb.</w:t>
        </w:r>
      </w:hyperlink>
      <w:r>
        <w:rPr/>
        <w:t xml:space="preserve">, zákona č. </w:t>
      </w:r>
      <w:hyperlink r:id="rId29" w:history="1">
        <w:r>
          <w:rPr>
            <w:color w:val="darkblue"/>
            <w:u w:val="single"/>
          </w:rPr>
          <w:t xml:space="preserve">194/1988 Sb.</w:t>
        </w:r>
      </w:hyperlink>
      <w:r>
        <w:rPr/>
        <w:t xml:space="preserve">, zákona č. </w:t>
      </w:r>
      <w:hyperlink r:id="rId30" w:history="1">
        <w:r>
          <w:rPr>
            <w:color w:val="darkblue"/>
            <w:u w:val="single"/>
          </w:rPr>
          <w:t xml:space="preserve">479/1992 Sb.</w:t>
        </w:r>
      </w:hyperlink>
      <w:r>
        <w:rPr/>
        <w:t xml:space="preserve"> a zákona č. </w:t>
      </w:r>
      <w:hyperlink r:id="rId31"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1" w:history="1">
        <w:r>
          <w:rPr>
            <w:color w:val="darkblue"/>
            <w:u w:val="single"/>
          </w:rPr>
          <w:t xml:space="preserve">142/1991 Sb.</w:t>
        </w:r>
      </w:hyperlink>
      <w:r>
        <w:rPr/>
        <w:t xml:space="preserve">, o československých technických normách, ve znění zákona č. </w:t>
      </w:r>
      <w:hyperlink r:id="rId12"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2"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3" w:history="1">
        <w:r>
          <w:rPr>
            <w:color w:val="darkblue"/>
            <w:u w:val="single"/>
          </w:rPr>
          <w:t xml:space="preserve">101/1988 Sb.</w:t>
        </w:r>
      </w:hyperlink>
      <w:r>
        <w:rPr/>
        <w:t xml:space="preserve">, o certifikaci výrobků, ve znění vyhlášky č. </w:t>
      </w:r>
      <w:hyperlink r:id="rId34"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5" w:history="1">
        <w:r>
          <w:rPr>
            <w:color w:val="darkblue"/>
            <w:u w:val="single"/>
          </w:rPr>
          <w:t xml:space="preserve">585/1992 Sb.</w:t>
        </w:r>
      </w:hyperlink>
      <w:r>
        <w:rPr/>
        <w:t xml:space="preserve">, kterou se provádí zákon č. </w:t>
      </w:r>
      <w:hyperlink r:id="rId13" w:history="1">
        <w:r>
          <w:rPr>
            <w:color w:val="darkblue"/>
            <w:u w:val="single"/>
          </w:rPr>
          <w:t xml:space="preserve">30/1968 Sb.</w:t>
        </w:r>
      </w:hyperlink>
      <w:r>
        <w:rPr/>
        <w:t xml:space="preserve">, o státním zkušebnictví, ve znění vyhlášky č. </w:t>
      </w:r>
      <w:hyperlink r:id="rId36"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40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7"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8"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39"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40"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1" w:history="1">
        <w:r>
          <w:rPr>
            <w:color w:val="darkblue"/>
            <w:u w:val="single"/>
          </w:rPr>
          <w:t xml:space="preserve">65/1965 Sb.</w:t>
        </w:r>
      </w:hyperlink>
      <w:r>
        <w:rPr>
          <w:sz w:val="19.200000000000003"/>
          <w:szCs w:val="19.200000000000003"/>
        </w:rPr>
        <w:t xml:space="preserve">, zákoník práce, ve znění zákona č. </w:t>
      </w:r>
      <w:hyperlink r:id="rId42"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3"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4" w:history="1">
        <w:r>
          <w:rPr>
            <w:color w:val="darkblue"/>
            <w:u w:val="single"/>
          </w:rPr>
          <w:t xml:space="preserve">258/2000 Sb.</w:t>
        </w:r>
      </w:hyperlink>
      <w:r>
        <w:rPr>
          <w:sz w:val="19.200000000000003"/>
          <w:szCs w:val="19.200000000000003"/>
        </w:rPr>
        <w:t xml:space="preserve">, o ochraně veřejného zdraví, ve znění zákona č. </w:t>
      </w:r>
      <w:hyperlink r:id="rId45" w:history="1">
        <w:r>
          <w:rPr>
            <w:color w:val="darkblue"/>
            <w:u w:val="single"/>
          </w:rPr>
          <w:t xml:space="preserve">254/2001 Sb.</w:t>
        </w:r>
      </w:hyperlink>
      <w:r>
        <w:rPr>
          <w:sz w:val="19.200000000000003"/>
          <w:szCs w:val="19.200000000000003"/>
        </w:rPr>
        <w:t xml:space="preserve"> a zákona č. </w:t>
      </w:r>
      <w:hyperlink r:id="rId46"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7"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4"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49"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50"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50"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Čl. 20 Nařízení Evropského parlamentu a Rady </w:t>
      </w:r>
      <w:hyperlink r:id="rId39" w:history="1">
        <w:r>
          <w:rPr>
            <w:color w:val="darkblue"/>
            <w:u w:val="single"/>
          </w:rPr>
          <w:t xml:space="preserve">(ES) č. 765/2008</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Nařízení vlády č. </w:t>
      </w:r>
      <w:hyperlink r:id="rId51" w:history="1">
        <w:r>
          <w:rPr>
            <w:color w:val="darkblue"/>
            <w:u w:val="single"/>
          </w:rPr>
          <w:t xml:space="preserve">396/2004 Sb.</w:t>
        </w:r>
      </w:hyperlink>
      <w:r>
        <w:rPr>
          <w:sz w:val="19.200000000000003"/>
          <w:szCs w:val="19.200000000000003"/>
        </w:rPr>
        <w:t xml:space="preserve">, o postupech, obsahu a formě informace o výskytu nebezpečných nepotravinářských výrobků.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0"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zrušen zákonem č. </w:t>
      </w:r>
      <w:hyperlink r:id="rId9" w:history="1">
        <w:r>
          <w:rPr>
            <w:color w:val="darkblue"/>
            <w:u w:val="single"/>
          </w:rPr>
          <w:t xml:space="preserve">100/2013 Sb.</w:t>
        </w:r>
      </w:hyperlink>
      <w:r>
        <w:rPr>
          <w:sz w:val="19.200000000000003"/>
          <w:szCs w:val="19.200000000000003"/>
        </w:rPr>
        <w:t xml:space="preserve"> (účinnost: 10. května 2013)</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Nařízení Evropského parlamentu a Rady </w:t>
      </w:r>
      <w:hyperlink r:id="rId54"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55"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čl. 42 Nařízení Evropského parlamentu a Rady </w:t>
      </w:r>
      <w:hyperlink r:id="rId54"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55"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Čl. 48 odst.  5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6" w:history="1">
        <w:r>
          <w:rPr>
            <w:color w:val="darkblue"/>
            <w:u w:val="single"/>
          </w:rPr>
          <w:t xml:space="preserve">§ 151</w:t>
        </w:r>
      </w:hyperlink>
      <w:r>
        <w:rPr>
          <w:sz w:val="19.200000000000003"/>
          <w:szCs w:val="19.200000000000003"/>
        </w:rPr>
        <w:t xml:space="preserve"> zákona č. </w:t>
      </w:r>
      <w:hyperlink r:id="rId57"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Čl. 39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Čl. 30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Čl. 11 až 14 a čl. 43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58"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58"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58"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2" w:history="1">
        <w:r>
          <w:rPr>
            <w:color w:val="darkblue"/>
            <w:u w:val="single"/>
          </w:rPr>
          <w:t xml:space="preserve">281/2009 Sb.</w:t>
        </w:r>
      </w:hyperlink>
      <w:r>
        <w:rPr/>
        <w:t xml:space="preserve"> nemůže byt zapracována, protože 19 odst.  7 zákona č. </w:t>
      </w:r>
      <w:hyperlink r:id="rId58" w:history="1">
        <w:r>
          <w:rPr>
            <w:color w:val="darkblue"/>
            <w:u w:val="single"/>
          </w:rPr>
          <w:t xml:space="preserve">22/1997 Sb.</w:t>
        </w:r>
      </w:hyperlink>
      <w:r>
        <w:rPr/>
        <w:t xml:space="preserve">, o technických požadavcích na výrobky a o změně a doplnění některých zákonů, ve znění zákona č. </w:t>
      </w:r>
      <w:hyperlink r:id="rId10" w:history="1">
        <w:r>
          <w:rPr>
            <w:color w:val="darkblue"/>
            <w:u w:val="single"/>
          </w:rPr>
          <w:t xml:space="preserve">205/2002 Sb.</w:t>
        </w:r>
      </w:hyperlink>
      <w:r>
        <w:rPr/>
        <w:t xml:space="preserve">, byl již zrušen zákonem č. </w:t>
      </w:r>
      <w:hyperlink r:id="rId59" w:history="1">
        <w:r>
          <w:rPr>
            <w:color w:val="darkblue"/>
            <w:u w:val="single"/>
          </w:rPr>
          <w:t xml:space="preserve">490/2009 Sb.</w:t>
        </w:r>
      </w:hyperlink>
      <w:r>
        <w:rPr/>
        <w:t xml:space="preserve"> (účinnost k 01.01.2010).</w:t>
      </w:r>
    </w:p>
    <w:p>
      <w:pPr>
        <w:pStyle w:val="Heading1"/>
      </w:pPr>
      <w:r>
        <w:rPr>
          <w:b/>
          <w:bCs/>
        </w:rPr>
        <w:t xml:space="preserve">Čl. II a IV zákona č. 100/2013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autorizaci k činnostem při posuzování shody stavebních výrobků podle nařízení vlády č. </w:t>
      </w:r>
      <w:hyperlink r:id="rId60" w:history="1">
        <w:r>
          <w:rPr>
            <w:color w:val="darkblue"/>
            <w:u w:val="single"/>
          </w:rPr>
          <w:t xml:space="preserve">190/2002 Sb.</w:t>
        </w:r>
      </w:hyperlink>
      <w:r>
        <w:rPr/>
        <w:t xml:space="preserve">, kterým se stanoví technické požadavky na stavební výrobky označované CE, ve znění účinném do dne nabytí účinnosti tohoto zákona, která nebyla pravomocně skončena přede dnem nabytí účinnosti tohoto zákona, se ke dni 1. července 2013 zastavují.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o autorizaci k činnostem při posuzování shody stavebních výrobků podle nařízení vlády č. </w:t>
      </w:r>
      <w:hyperlink r:id="rId60" w:history="1">
        <w:r>
          <w:rPr>
            <w:color w:val="darkblue"/>
            <w:u w:val="single"/>
          </w:rPr>
          <w:t xml:space="preserve">190/2002 Sb.</w:t>
        </w:r>
      </w:hyperlink>
      <w:r>
        <w:rPr/>
        <w:t xml:space="preserve">, kterým se stanoví technické požadavky na stavební výrobky označované CE, ve znění účinném do dne nabytí účinnosti tohoto zákona, vydaná podle dosavadních právních předpisů, pozbývají platnosti dnem 1. července 2013.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vydání osvědčení o akreditaci, zahájená podle zákona č. </w:t>
      </w:r>
      <w:hyperlink r:id="rId58" w:history="1">
        <w:r>
          <w:rPr>
            <w:color w:val="darkblue"/>
            <w:u w:val="single"/>
          </w:rPr>
          <w:t xml:space="preserve">22/1997 Sb.</w:t>
        </w:r>
      </w:hyperlink>
      <w:r>
        <w:rPr/>
        <w:t xml:space="preserve">, ve znění účinném přede dnem nabytí účinnosti tohoto zákona, se dokončí podle dosavadní právní úpravy.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Osvědčení o akreditaci, vydaná podle zákona č. </w:t>
      </w:r>
      <w:hyperlink r:id="rId58" w:history="1">
        <w:r>
          <w:rPr>
            <w:color w:val="darkblue"/>
            <w:u w:val="single"/>
          </w:rPr>
          <w:t xml:space="preserve">22/1997 Sb.</w:t>
        </w:r>
      </w:hyperlink>
      <w:r>
        <w:rPr/>
        <w:t xml:space="preserve">, ve znění účinném přede dnem nabytí účinnosti tohoto zákona, se považují za osvědčení o akreditaci podle zákona č. </w:t>
      </w:r>
      <w:hyperlink r:id="rId58" w:history="1">
        <w:r>
          <w:rPr>
            <w:color w:val="darkblue"/>
            <w:u w:val="single"/>
          </w:rPr>
          <w:t xml:space="preserve">22/1997 Sb.</w:t>
        </w:r>
      </w:hyperlink>
      <w:r>
        <w:rPr/>
        <w:t xml:space="preserve">, ve znění účinném ode dne nabytí účinnosti tohoto zákona.</w:t>
      </w:r>
    </w:p>
    <w:p>
      <w:pPr>
        <w:pStyle w:val="Heading2"/>
      </w:pPr>
      <w:r>
        <w:rPr>
          <w:b/>
          <w:bCs/>
        </w:rPr>
        <w:t xml:space="preserve">Čl. IV</w:t>
      </w:r>
      <w:r>
        <w:rPr>
          <w:rStyle w:val="hidden"/>
        </w:rPr>
        <w:t xml:space="preserve"> -</w:t>
      </w:r>
      <w:br/>
      <w:r>
        <w:rPr/>
        <w:t xml:space="preserve">Účinnost</w:t>
      </w:r>
    </w:p>
    <w:p>
      <w:pPr>
        <w:ind w:left="0" w:right="0"/>
      </w:pPr>
      <w:r>
        <w:rPr/>
        <w:t xml:space="preserve">Tento zákon nabývá účinnosti patnáctým dnem ode dne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7, 8, 14 až 16 a 18 až 35 a čl. III, které nabývají účinnosti dnem 1. července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13, který nabývá účinnosti dnem 1. ledna 2014.</w:t>
      </w:r>
    </w:p>
    <w:sectPr>
      <w:headerReference w:type="default" r:id="rId61"/>
      <w:footerReference w:type="default" r:id="rId6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64/2014 Sb. z </w:t>
          </w:r>
          <w:r>
            <w:rPr>
              <w:rStyle w:val="bold"/>
            </w:rPr>
            <w:t xml:space="preserve">1. 5. 2014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13s100" TargetMode="External"/><Relationship Id="rId10" Type="http://schemas.openxmlformats.org/officeDocument/2006/relationships/hyperlink" Target="https://esipa.cz/sbirka/sbsrv.dll/sb?DR=SB&amp;CP=2002s205" TargetMode="External"/><Relationship Id="rId11" Type="http://schemas.openxmlformats.org/officeDocument/2006/relationships/hyperlink" Target="https://esipa.cz/sbirka/sbsrv.dll/sb?DR=SB&amp;CP=1991s142" TargetMode="External"/><Relationship Id="rId12" Type="http://schemas.openxmlformats.org/officeDocument/2006/relationships/hyperlink" Target="https://esipa.cz/sbirka/sbsrv.dll/sb?DR=SB&amp;CP=1992s632" TargetMode="External"/><Relationship Id="rId13" Type="http://schemas.openxmlformats.org/officeDocument/2006/relationships/hyperlink" Target="https://esipa.cz/sbirka/sbsrv.dll/sb?DR=SB&amp;CP=1968s030" TargetMode="External"/><Relationship Id="rId14" Type="http://schemas.openxmlformats.org/officeDocument/2006/relationships/hyperlink" Target="https://esipa.cz/sbirka/sbsrv.dll/sb?DR=SB&amp;CP=1986s064" TargetMode="External"/><Relationship Id="rId15" Type="http://schemas.openxmlformats.org/officeDocument/2006/relationships/hyperlink" Target="https://esipa.cz/sbirka/sbsrv.dll/sb?DR=SB&amp;CP=1992s240" TargetMode="External"/><Relationship Id="rId16" Type="http://schemas.openxmlformats.org/officeDocument/2006/relationships/hyperlink" Target="https://esipa.cz/sbirka/sbsrv.dll/sb?DR=SB&amp;CP=1990s526" TargetMode="External"/><Relationship Id="rId17" Type="http://schemas.openxmlformats.org/officeDocument/2006/relationships/hyperlink" Target="https://esipa.cz/sbirka/sbsrv.dll/sb?DR=SB&amp;CP=1994s135" TargetMode="External"/><Relationship Id="rId18" Type="http://schemas.openxmlformats.org/officeDocument/2006/relationships/hyperlink" Target="https://esipa.cz/sbirka/sbsrv.dll/sb?DR=SB&amp;CP=1993s020" TargetMode="External"/><Relationship Id="rId19" Type="http://schemas.openxmlformats.org/officeDocument/2006/relationships/hyperlink" Target="https://esipa.cz/sbirka/sbsrv.dll/sb?DR=SB&amp;CP=1967s071" TargetMode="External"/><Relationship Id="rId20" Type="http://schemas.openxmlformats.org/officeDocument/2006/relationships/hyperlink" Target="https://esipa.cz/sbirka/sbsrv.dll/sb?DR=SB&amp;CP=1990s505" TargetMode="External"/><Relationship Id="rId21" Type="http://schemas.openxmlformats.org/officeDocument/2006/relationships/hyperlink" Target="https://esipa.cz/sbirka/sbsrv.dll/sb?DR=SB&amp;CP=1990s505#C01_P004" TargetMode="External"/><Relationship Id="rId22" Type="http://schemas.openxmlformats.org/officeDocument/2006/relationships/hyperlink" Target="https://esipa.cz/sbirka/sbsrv.dll/sb?DR=SB&amp;CP=1990s505#C05_P014" TargetMode="External"/><Relationship Id="rId23" Type="http://schemas.openxmlformats.org/officeDocument/2006/relationships/hyperlink" Target="https://esipa.cz/sbirka/sbsrv.dll/sb?DR=SB&amp;CP=1990s505#C05_P015" TargetMode="External"/><Relationship Id="rId24" Type="http://schemas.openxmlformats.org/officeDocument/2006/relationships/hyperlink" Target="https://esipa.cz/sbirka/sbsrv.dll/sb?DR=SB&amp;CP=1990s505#C05_P013" TargetMode="External"/><Relationship Id="rId25" Type="http://schemas.openxmlformats.org/officeDocument/2006/relationships/hyperlink" Target="https://esipa.cz/sbirka/sbsrv.dll/sb?DR=SB&amp;CP=1990s505#C05_P016" TargetMode="External"/><Relationship Id="rId26" Type="http://schemas.openxmlformats.org/officeDocument/2006/relationships/hyperlink" Target="https://esipa.cz/sbirka/sbsrv.dll/sb?DR=SB&amp;CP=1990s505#C05_P020" TargetMode="External"/><Relationship Id="rId27" Type="http://schemas.openxmlformats.org/officeDocument/2006/relationships/hyperlink" Target="https://esipa.cz/sbirka/sbsrv.dll/sb?DR=SB&amp;CP=1990s505#C05_P021" TargetMode="External"/><Relationship Id="rId28" Type="http://schemas.openxmlformats.org/officeDocument/2006/relationships/hyperlink" Target="https://esipa.cz/sbirka/sbsrv.dll/sb?DR=SB&amp;CP=1987s054" TargetMode="External"/><Relationship Id="rId29" Type="http://schemas.openxmlformats.org/officeDocument/2006/relationships/hyperlink" Target="https://esipa.cz/sbirka/sbsrv.dll/sb?DR=SB&amp;CP=1988s194" TargetMode="External"/><Relationship Id="rId30" Type="http://schemas.openxmlformats.org/officeDocument/2006/relationships/hyperlink" Target="https://esipa.cz/sbirka/sbsrv.dll/sb?DR=SB&amp;CP=1992s479" TargetMode="External"/><Relationship Id="rId31" Type="http://schemas.openxmlformats.org/officeDocument/2006/relationships/hyperlink" Target="https://esipa.cz/sbirka/sbsrv.dll/sb?DR=SB&amp;CP=1992s539" TargetMode="External"/><Relationship Id="rId32" Type="http://schemas.openxmlformats.org/officeDocument/2006/relationships/hyperlink" Target="https://esipa.cz/sbirka/sbsrv.dll/sb?DR=SB&amp;CP=1984s104" TargetMode="External"/><Relationship Id="rId33" Type="http://schemas.openxmlformats.org/officeDocument/2006/relationships/hyperlink" Target="https://esipa.cz/sbirka/sbsrv.dll/sb?DR=SB&amp;CP=1988s101" TargetMode="External"/><Relationship Id="rId34" Type="http://schemas.openxmlformats.org/officeDocument/2006/relationships/hyperlink" Target="https://esipa.cz/sbirka/sbsrv.dll/sb?DR=SB&amp;CP=1993s233" TargetMode="External"/><Relationship Id="rId35" Type="http://schemas.openxmlformats.org/officeDocument/2006/relationships/hyperlink" Target="https://esipa.cz/sbirka/sbsrv.dll/sb?DR=SB&amp;CP=1992s585" TargetMode="External"/><Relationship Id="rId36" Type="http://schemas.openxmlformats.org/officeDocument/2006/relationships/hyperlink" Target="https://esipa.cz/sbirka/sbsrv.dll/sb?DR=SB&amp;CP=1993s232" TargetMode="External"/><Relationship Id="rId37" Type="http://schemas.openxmlformats.org/officeDocument/2006/relationships/hyperlink" Target="https://esipa.cz/sbirka/sbsrv.dll/sb?DR=SB&amp;CP=1995s114" TargetMode="External"/><Relationship Id="rId38" Type="http://schemas.openxmlformats.org/officeDocument/2006/relationships/hyperlink" Target="https://esipa.cz/sbirka/sbsrv.dll/sb?DR=SB&amp;CP=2000s061" TargetMode="External"/><Relationship Id="rId39" Type="http://schemas.openxmlformats.org/officeDocument/2006/relationships/hyperlink" Target="https://esipa.cz/sbirka/sbsrv.dll/sb?DR=SB&amp;CP=32008R0765" TargetMode="External"/><Relationship Id="rId40" Type="http://schemas.openxmlformats.org/officeDocument/2006/relationships/hyperlink" Target="https://esipa.cz/sbirka/sbsrv.dll/sb?DR=SB&amp;CP=31993R0339" TargetMode="External"/><Relationship Id="rId41" Type="http://schemas.openxmlformats.org/officeDocument/2006/relationships/hyperlink" Target="https://esipa.cz/sbirka/sbsrv.dll/sb?DR=SB&amp;CP=1965s065" TargetMode="External"/><Relationship Id="rId42" Type="http://schemas.openxmlformats.org/officeDocument/2006/relationships/hyperlink" Target="https://esipa.cz/sbirka/sbsrv.dll/sb?DR=SB&amp;CP=2000s155" TargetMode="External"/><Relationship Id="rId43" Type="http://schemas.openxmlformats.org/officeDocument/2006/relationships/hyperlink" Target="https://esipa.cz/sbirka/sbsrv.dll/sb?DR=SB&amp;CP=32001L0095" TargetMode="External"/><Relationship Id="rId44" Type="http://schemas.openxmlformats.org/officeDocument/2006/relationships/hyperlink" Target="https://esipa.cz/sbirka/sbsrv.dll/sb?DR=SB&amp;CP=2000s258" TargetMode="External"/><Relationship Id="rId45" Type="http://schemas.openxmlformats.org/officeDocument/2006/relationships/hyperlink" Target="https://esipa.cz/sbirka/sbsrv.dll/sb?DR=SB&amp;CP=2001s254" TargetMode="External"/><Relationship Id="rId46" Type="http://schemas.openxmlformats.org/officeDocument/2006/relationships/hyperlink" Target="https://esipa.cz/sbirka/sbsrv.dll/sb?DR=SB&amp;CP=2001s274" TargetMode="External"/><Relationship Id="rId47" Type="http://schemas.openxmlformats.org/officeDocument/2006/relationships/hyperlink" Target="https://esipa.cz/sbirka/sbsrv.dll/sb?DR=SB&amp;CP=2001s05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SB&amp;CP=1994s266" TargetMode="External"/><Relationship Id="rId50" Type="http://schemas.openxmlformats.org/officeDocument/2006/relationships/hyperlink" Target="https://esipa.cz/sbirka/sbsrv.dll/sb?DR=SB&amp;CP=2014s064" TargetMode="External"/><Relationship Id="rId51" Type="http://schemas.openxmlformats.org/officeDocument/2006/relationships/hyperlink" Target="https://esipa.cz/sbirka/sbsrv.dll/sb?DR=SB&amp;CP=2004s396" TargetMode="External"/><Relationship Id="rId52" Type="http://schemas.openxmlformats.org/officeDocument/2006/relationships/hyperlink" Target="https://esipa.cz/sbirka/sbsrv.dll/sb?DR=SB&amp;CP=2009s281" TargetMode="External"/><Relationship Id="rId53" Type="http://schemas.openxmlformats.org/officeDocument/2006/relationships/hyperlink" Target="https://esipa.cz/sbirka/sbsrv.dll/sb?DR=SB&amp;CP=2006s183" TargetMode="External"/><Relationship Id="rId54" Type="http://schemas.openxmlformats.org/officeDocument/2006/relationships/hyperlink" Target="https://esipa.cz/sbirka/sbsrv.dll/sb?DR=SB&amp;CP=32011R0305" TargetMode="External"/><Relationship Id="rId55" Type="http://schemas.openxmlformats.org/officeDocument/2006/relationships/hyperlink" Target="https://esipa.cz/sbirka/sbsrv.dll/sb?DR=SB&amp;CP=31989L0106" TargetMode="External"/><Relationship Id="rId56" Type="http://schemas.openxmlformats.org/officeDocument/2006/relationships/hyperlink" Target="https://esipa.cz/sbirka/sbsrv.dll/sb?DR=AZ&amp;CP=2004s500-2012s167#C03_H06_P151" TargetMode="External"/><Relationship Id="rId57" Type="http://schemas.openxmlformats.org/officeDocument/2006/relationships/hyperlink" Target="https://esipa.cz/sbirka/sbsrv.dll/sb?DR=SB&amp;CP=2004s500" TargetMode="External"/><Relationship Id="rId58" Type="http://schemas.openxmlformats.org/officeDocument/2006/relationships/hyperlink" Target="https://esipa.cz/sbirka/sbsrv.dll/sb?DR=SB&amp;CP=1997s022" TargetMode="External"/><Relationship Id="rId59" Type="http://schemas.openxmlformats.org/officeDocument/2006/relationships/hyperlink" Target="https://esipa.cz/sbirka/sbsrv.dll/sb?DR=SB&amp;CP=2009s490" TargetMode="External"/><Relationship Id="rId60" Type="http://schemas.openxmlformats.org/officeDocument/2006/relationships/hyperlink" Target="https://esipa.cz/sbirka/sbsrv.dll/sb?DR=SB&amp;CP=2002s190" TargetMode="External"/><Relationship Id="rId61" Type="http://schemas.openxmlformats.org/officeDocument/2006/relationships/header" Target="header1.xml"/><Relationship Id="rId6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64/2014 Sb. z 1. 5. 2014</dc:title>
  <dc:description>Zákon o technických požadavcích na výrobky a o změně a doplnění některých zákonů</dc:description>
  <dc:subject/>
  <cp:keywords/>
  <cp:category/>
  <cp:lastModifiedBy/>
  <dcterms:created xsi:type="dcterms:W3CDTF">2014-05-01T00:00:00+02:00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