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100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Národní rozpočtové rady</w:t>
      </w:r>
    </w:p>
    <w:p>
      <w:pPr>
        <w:jc w:val="center"/>
        <w:ind w:left="0" w:right="0"/>
        <w:spacing w:after="0"/>
      </w:pPr>
      <w:r>
        <w:rPr/>
        <w:t xml:space="preserve">ze dne 11. dubna 2024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výši dluhu sektoru veřejných institucí po odečtení rezervy peněžních prostředků při financování státního dluhu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Národní rozpočtová rada podle </w:t>
      </w:r>
      <w:hyperlink r:id="rId7" w:history="1">
        <w:r>
          <w:rPr>
            <w:color w:val="darkblue"/>
            <w:u w:val="single"/>
          </w:rPr>
          <w:t xml:space="preserve">§ 21</w:t>
        </w:r>
      </w:hyperlink>
      <w:r>
        <w:rPr/>
        <w:t xml:space="preserve"> odst. 2 písm. b) zákona č. </w:t>
      </w:r>
      <w:hyperlink r:id="rId8" w:history="1">
        <w:r>
          <w:rPr>
            <w:color w:val="darkblue"/>
            <w:u w:val="single"/>
          </w:rPr>
          <w:t xml:space="preserve">23/2017 Sb.</w:t>
        </w:r>
      </w:hyperlink>
      <w:r>
        <w:rPr/>
        <w:t xml:space="preserve">, o pravidlech rozpočtové odpovědnosti, ve znění pozdějších předpisů, vyhlašuje výši dluhu sektoru veřejných institucí po odečtení rezervy peněžních prostředků při financování státního dluhu k 31. 12. 2023 na úrovni 43,96 % HDP.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Národní rozpočtové rady: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Hampl</w:t>
      </w:r>
      <w:r>
        <w:rPr/>
        <w:t xml:space="preserve">, MSc., Ph.D.,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100/2024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17s023-2023s349#P21" TargetMode="External"/><Relationship Id="rId8" Type="http://schemas.openxmlformats.org/officeDocument/2006/relationships/hyperlink" Target="https://esipa.cz/sbirka/sbsrv.dll/sb?DR=SB&amp;CP=2017s02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100/2024 Sb. - původní znění</dc:title>
  <dc:description>Sdělení Národní rozpočtové rady o výši dluhu sektoru veřejných institucí po odečtení rezervy peněžních prostředků při financování státního dluhu</dc:description>
  <dc:subject/>
  <cp:keywords/>
  <cp:category/>
  <cp:lastModifiedBy/>
  <dcterms:created xsi:type="dcterms:W3CDTF">2024-04-23T00:00:00+02:00</dcterms:created>
  <dcterms:modified xsi:type="dcterms:W3CDTF">2024-04-25T10:38:53+02:00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