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 podle zákona o přestupcích</w:t>
      </w:r>
      <w:r>
        <w:rPr>
          <w:vertAlign w:val="superscript"/>
        </w:rPr>
        <w:t xml:space="preserve">27</w:t>
      </w:r>
      <w:r>
        <w:rPr/>
        <w:t xml:space="preserv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schodišťové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schodišťové plošiny, schodišťové sedačky nebo stropního zvedacího systému, je rovněž podmínkou souhlas vlastníka nemovitosti s provedením instalace tohoto zařízení a jeho provozem, není-li vlastníkem nemovitosti osoba, které je tento příspěvek poskytován.</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schodišťové plošiny se poskytne, jen jestliže odstranění bariéry nelze dosáhnout prostřednictvím schodolezu. Jde-li o poskytnutí příspěvku na zvláštní pomůcku na pořízení schodišťové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schodišťové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schodišťové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podle § 9 odst. 7, jde-li o žádost o příspěvek na zvláštní pomůcku na pořízení schodišťové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3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5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6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8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9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50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51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28 zákona č. </w:t>
      </w:r>
      <w:hyperlink r:id="rId314"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5" w:history="1">
        <w:r>
          <w:rPr>
            <w:color w:val="darkblue"/>
            <w:u w:val="single"/>
          </w:rPr>
          <w:t xml:space="preserve">89/2012 Sb.</w:t>
        </w:r>
      </w:hyperlink>
      <w:r>
        <w:rPr>
          <w:sz w:val="19.200000000000003"/>
          <w:szCs w:val="19.200000000000003"/>
        </w:rPr>
        <w:t xml:space="preserve">, občanský zákoník.</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nebo speciálního zádržního systému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a l),</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6"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6"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6"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6"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6"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6"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6"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6"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7"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6"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6"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6"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6" w:history="1">
        <w:r>
          <w:rPr>
            <w:color w:val="darkblue"/>
            <w:u w:val="single"/>
          </w:rPr>
          <w:t xml:space="preserve">329/2011 Sb.</w:t>
        </w:r>
      </w:hyperlink>
      <w:r>
        <w:rPr/>
        <w:t xml:space="preserve">, ve znění účinném přede dnem 1. ledna 2015, se dokončí podle zákona č. </w:t>
      </w:r>
      <w:hyperlink r:id="rId316"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6"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6"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6"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sectPr>
      <w:headerReference w:type="default" r:id="rId318"/>
      <w:footerReference w:type="default" r:id="rId3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140/2016 Sb. z </w:t>
          </w:r>
          <w:r>
            <w:rPr>
              <w:rStyle w:val="bold"/>
            </w:rPr>
            <w:t xml:space="preserve">21. 5. 2016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1990s200" TargetMode="External"/><Relationship Id="rId315" Type="http://schemas.openxmlformats.org/officeDocument/2006/relationships/hyperlink" Target="https://esipa.cz/sbirka/sbsrv.dll/sb?DR=SB&amp;CP=2012s089" TargetMode="External"/><Relationship Id="rId316" Type="http://schemas.openxmlformats.org/officeDocument/2006/relationships/hyperlink" Target="https://esipa.cz/sbirka/sbsrv.dll/sb?DR=SB&amp;CP=2011s329" TargetMode="External"/><Relationship Id="rId317" Type="http://schemas.openxmlformats.org/officeDocument/2006/relationships/hyperlink" Target="https://esipa.cz/sbirka/sbsrv.dll/sb?DR=SB&amp;CP=2011s424" TargetMode="External"/><Relationship Id="rId318" Type="http://schemas.openxmlformats.org/officeDocument/2006/relationships/header" Target="header1.xml"/><Relationship Id="rId3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140/2016 Sb. z 21. 5. 2016</dc:title>
  <dc:description>Zákon o poskytování dávek osobám se zdravotním postižením a o změně souvisejících zákonů</dc:description>
  <dc:subject/>
  <cp:keywords/>
  <cp:category/>
  <cp:lastModifiedBy/>
  <dcterms:created xsi:type="dcterms:W3CDTF">2016-05-21T00:00:00+02:00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