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28. května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520/2005 Sb.</w:t>
        </w:r>
      </w:hyperlink>
      <w:r>
        <w:rPr>
          <w:b/>
          <w:bCs/>
        </w:rPr>
        <w:t xml:space="preserve">, o rozsahu hotových výdajů a ušlého výdělku, které správní orgán hradí jiným osobám, a o výši paušální částky nákladů řízení, ve znění vyhlášky č. </w:t>
      </w:r>
      <w:hyperlink r:id="rId8" w:history="1">
        <w:r>
          <w:rPr>
            <w:color w:val="darkblue"/>
            <w:u w:val="single"/>
          </w:rPr>
          <w:t xml:space="preserve">112/2017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vnitra stanoví podle </w:t>
      </w:r>
      <w:hyperlink r:id="rId9" w:history="1">
        <w:r>
          <w:rPr>
            <w:color w:val="darkblue"/>
            <w:u w:val="single"/>
          </w:rPr>
          <w:t xml:space="preserve">§ 176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500/2004 Sb.</w:t>
        </w:r>
      </w:hyperlink>
      <w:r>
        <w:rPr/>
        <w:t xml:space="preserve">, správní řád: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520/2005 Sb.</w:t>
        </w:r>
      </w:hyperlink>
      <w:r>
        <w:rPr/>
        <w:t xml:space="preserve">, o rozsahu hotových výdajů a ušlého výdělku, které správní orgán hradí jiným osobám, a o výši paušální částky nákladů řízení, ve znění vyhlášky č. </w:t>
      </w:r>
      <w:hyperlink r:id="rId8" w:history="1">
        <w:r>
          <w:rPr>
            <w:color w:val="darkblue"/>
            <w:u w:val="single"/>
          </w:rPr>
          <w:t xml:space="preserve">112/2017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a v </w:t>
      </w:r>
      <w:hyperlink r:id="rId12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slova „zákona o cestovních náhradách</w:t>
      </w:r>
      <w:hyperlink r:id="rId13" w:history="1">
        <w:r>
          <w:rPr>
            <w:color w:val="darkblue"/>
            <w:u w:val="single"/>
          </w:rPr>
          <w:t xml:space="preserve">5)</w:t>
        </w:r>
      </w:hyperlink>
      <w:r>
        <w:rPr/>
        <w:t xml:space="preserve">“ nahrazují slovy „zákoníku práce“.</w:t>
      </w:r>
    </w:p>
    <w:p>
      <w:pPr>
        <w:ind w:left="560" w:right="0"/>
      </w:pPr>
      <w:r>
        <w:rPr/>
        <w:t xml:space="preserve">Poznámka pod čarou č. 5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se částka „1 000 Kč“ nahrazuje částkou „2 500 Kč“.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Náklady řízení zahájených a pravomocně neskončených přede dnem nabytí účinnosti této vyhlášky se stanoví podle dosavadních právních předpisů.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145/2024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5s520" TargetMode="External"/><Relationship Id="rId8" Type="http://schemas.openxmlformats.org/officeDocument/2006/relationships/hyperlink" Target="https://esipa.cz/sbirka/sbsrv.dll/sb?DR=SB&amp;CP=2017s112" TargetMode="External"/><Relationship Id="rId9" Type="http://schemas.openxmlformats.org/officeDocument/2006/relationships/hyperlink" Target="https://esipa.cz/sbirka/sbsrv.dll/sb?DR=AZ&amp;CP=2004s500-2020s403#P176" TargetMode="External"/><Relationship Id="rId10" Type="http://schemas.openxmlformats.org/officeDocument/2006/relationships/hyperlink" Target="https://esipa.cz/sbirka/sbsrv.dll/sb?DR=SB&amp;CP=2004s500" TargetMode="External"/><Relationship Id="rId11" Type="http://schemas.openxmlformats.org/officeDocument/2006/relationships/hyperlink" Target="https://esipa.cz/sbirka/sbsrv.dll/sb?DR=AZ&amp;CP=2005s520-2017s112#P002" TargetMode="External"/><Relationship Id="rId12" Type="http://schemas.openxmlformats.org/officeDocument/2006/relationships/hyperlink" Target="https://esipa.cz/sbirka/sbsrv.dll/sb?DR=AZ&amp;CP=2005s520-2017s112#P004" TargetMode="External"/><Relationship Id="rId13" Type="http://schemas.openxmlformats.org/officeDocument/2006/relationships/hyperlink" Target="https://esipa.cz/sbirka/sbsrv.dll/sb?DR=AZ&amp;CP=2005s520-2017s112#note_5" TargetMode="External"/><Relationship Id="rId14" Type="http://schemas.openxmlformats.org/officeDocument/2006/relationships/hyperlink" Target="https://esipa.cz/sbirka/sbsrv.dll/sb?DR=AZ&amp;CP=2005s520-2017s112#P006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145/2024 Sb. - původní znění</dc:title>
  <dc:description>Vyhláška, kterou se mění vyhláška č. 520/2005 Sb., o rozsahu hotových výdajů a ušlého výdělku, které správní orgán hradí jiným osobám, a o výši paušální částky nákladů řízení, ve znění vyhlášky č. 112/2017 Sb.</dc:description>
  <dc:subject/>
  <cp:keywords/>
  <cp:category/>
  <cp:lastModifiedBy/>
  <dcterms:created xsi:type="dcterms:W3CDTF">2024-07-01T00:00:00+02:00</dcterms:created>
  <dcterms:modified xsi:type="dcterms:W3CDTF">2024-06-12T13:02:00+02:00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