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t xml:space="preserve">Je-li oprávněnou osobou dítě</w:t>
      </w:r>
      <w:r>
        <w:rPr>
          <w:vertAlign w:val="superscript"/>
        </w:rPr>
        <w:t xml:space="preserve">6</w:t>
      </w:r>
      <w:r>
        <w:rPr/>
        <w:t xml:space="preserve">)</w:t>
      </w:r>
      <w:r>
        <w:rPr/>
        <w:t xml:space="preserve">, je orgán příslušný k rozhodování o dávkách povinen při rozhodování o nároku na dávku a její výši vždy sledovat dosažení nejlepšího zájmu dítěte.</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 podle zákona o přestupcích</w:t>
      </w:r>
      <w:r>
        <w:rPr>
          <w:vertAlign w:val="superscript"/>
        </w:rPr>
        <w:t xml:space="preserve">27</w:t>
      </w:r>
      <w:r>
        <w:rPr/>
        <w:t xml:space="preserv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3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5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6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8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9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0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1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28 zákona č. </w:t>
      </w:r>
      <w:hyperlink r:id="rId314"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nebo speciálního zádržního systému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a l),</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5"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5"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5"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5"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5"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5"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5"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5"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5"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5"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5"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6"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5"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5"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5"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5"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5"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5" w:history="1">
        <w:r>
          <w:rPr>
            <w:color w:val="darkblue"/>
            <w:u w:val="single"/>
          </w:rPr>
          <w:t xml:space="preserve">329/2011 Sb.</w:t>
        </w:r>
      </w:hyperlink>
      <w:r>
        <w:rPr/>
        <w:t xml:space="preserve">, ve znění účinném přede dnem 1. ledna 2015, se dokončí podle zákona č. </w:t>
      </w:r>
      <w:hyperlink r:id="rId315"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5"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5"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5"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sectPr>
      <w:headerReference w:type="default" r:id="rId317"/>
      <w:footerReference w:type="default" r:id="rId3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329/2014 Sb. z </w:t>
          </w:r>
          <w:r>
            <w:rPr>
              <w:rStyle w:val="bold"/>
            </w:rPr>
            <w:t xml:space="preserve">1. 1. 2015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1990s200" TargetMode="External"/><Relationship Id="rId315" Type="http://schemas.openxmlformats.org/officeDocument/2006/relationships/hyperlink" Target="https://esipa.cz/sbirka/sbsrv.dll/sb?DR=SB&amp;CP=2011s329" TargetMode="External"/><Relationship Id="rId316" Type="http://schemas.openxmlformats.org/officeDocument/2006/relationships/hyperlink" Target="https://esipa.cz/sbirka/sbsrv.dll/sb?DR=SB&amp;CP=2011s424" TargetMode="External"/><Relationship Id="rId317" Type="http://schemas.openxmlformats.org/officeDocument/2006/relationships/header" Target="header1.xml"/><Relationship Id="rId3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329/2014 Sb. z 1. 1. 2015</dc:title>
  <dc:description>Zákon o poskytování dávek osobám se zdravotním postižením a o změně souvisejících zákonů</dc:description>
  <dc:subject/>
  <cp:keywords/>
  <cp:category/>
  <cp:lastModifiedBy/>
  <dcterms:created xsi:type="dcterms:W3CDTF">2015-01-01T00:00:00+01:00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