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w:t>
      </w:r>
      <w:hyperlink r:id="rId9"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a insolvenční správce nebyl ustanoven postupem podle § 25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 40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 36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 40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 24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12"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13"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4"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5"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1"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16"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7"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18"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 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9"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20"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21"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22" w:history="1">
        <w:r>
          <w:rPr>
            <w:color w:val="darkblue"/>
            <w:u w:val="single"/>
          </w:rPr>
          <w:t xml:space="preserve">§ 41h</w:t>
        </w:r>
      </w:hyperlink>
      <w:r>
        <w:rPr/>
        <w:t xml:space="preserve"> odst. 2 zákona o bankách nebo podle </w:t>
      </w:r>
      <w:hyperlink r:id="rId23"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 390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 412a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 409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 315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 398b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 36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 398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 398 nebo § 398b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 412a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 408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 398 odst. 3; ustanovení § 418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 412a odst. 1.</w:t>
      </w:r>
    </w:p>
    <w:p>
      <w:pPr>
        <w:ind w:left="0" w:right="0"/>
      </w:pPr>
      <w:r>
        <w:rPr>
          <w:b/>
          <w:bCs/>
        </w:rPr>
        <w:t xml:space="preserve">(5)</w:t>
      </w:r>
      <w:r>
        <w:rPr/>
        <w:t xml:space="preserve">  Insolvenční soud může rozhodnout, že se doba, která je rozhodná pro posouzení splacení pohledávek podle § 412a odst. 1, prodlouží až o 6 měsíců. Učiní tak z důležitých důvodů na návrh dlužníka podaný do uplynutí doby, která je rozhodná pro posouzení splacení pohledávek podle § 412a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4"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25"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 414, se může odvolat pouze dlužník.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25"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 395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26"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 85,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7"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8" w:history="1">
        <w:r>
          <w:rPr>
            <w:color w:val="darkblue"/>
            <w:u w:val="single"/>
          </w:rPr>
          <w:t xml:space="preserve">122/1993 Sb.</w:t>
        </w:r>
      </w:hyperlink>
      <w:r>
        <w:rPr/>
        <w:t xml:space="preserve">, kterým se mění a doplňuje zákon č. </w:t>
      </w:r>
      <w:hyperlink r:id="rId27"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9" w:history="1">
        <w:r>
          <w:rPr>
            <w:color w:val="darkblue"/>
            <w:u w:val="single"/>
          </w:rPr>
          <w:t xml:space="preserve">12/1998 Sb.</w:t>
        </w:r>
      </w:hyperlink>
      <w:r>
        <w:rPr/>
        <w:t xml:space="preserve">, kterým se mění a doplňuje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0" w:history="1">
        <w:r>
          <w:rPr>
            <w:color w:val="darkblue"/>
            <w:u w:val="single"/>
          </w:rPr>
          <w:t xml:space="preserve">214/2000 Sb.</w:t>
        </w:r>
      </w:hyperlink>
      <w:r>
        <w:rPr/>
        <w:t xml:space="preserve">, kterým se mění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1" w:history="1">
        <w:r>
          <w:rPr>
            <w:color w:val="darkblue"/>
            <w:u w:val="single"/>
          </w:rPr>
          <w:t xml:space="preserve">368/2000 Sb.</w:t>
        </w:r>
      </w:hyperlink>
      <w:r>
        <w:rPr/>
        <w:t xml:space="preserve">, kterým se mění zákon č. </w:t>
      </w:r>
      <w:hyperlink r:id="rId32" w:history="1">
        <w:r>
          <w:rPr>
            <w:color w:val="darkblue"/>
            <w:u w:val="single"/>
          </w:rPr>
          <w:t xml:space="preserve">530/1990 Sb.</w:t>
        </w:r>
      </w:hyperlink>
      <w:r>
        <w:rPr/>
        <w:t xml:space="preserve">, o dluhopisech, ve znění pozdějších předpisů, a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33"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6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9"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34" w:history="1">
        <w:r>
          <w:rPr>
            <w:color w:val="darkblue"/>
            <w:u w:val="single"/>
          </w:rPr>
          <w:t xml:space="preserve">1/1993 Sb.</w:t>
        </w:r>
      </w:hyperlink>
      <w:r>
        <w:rPr>
          <w:sz w:val="19.200000000000003"/>
          <w:szCs w:val="19.200000000000003"/>
        </w:rPr>
        <w:t xml:space="preserve">, Ústava České republiky, ve znění ústavního zákona č. </w:t>
      </w:r>
      <w:hyperlink r:id="rId3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3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37"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8"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8"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9"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40"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1"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4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43"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4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45"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45"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6"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7"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8"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9" w:history="1">
        <w:r>
          <w:rPr>
            <w:color w:val="darkblue"/>
            <w:u w:val="single"/>
          </w:rPr>
          <w:t xml:space="preserve">256/2004 Sb.</w:t>
        </w:r>
      </w:hyperlink>
      <w:r>
        <w:rPr>
          <w:sz w:val="19.200000000000003"/>
          <w:szCs w:val="19.200000000000003"/>
        </w:rPr>
        <w:t xml:space="preserve">, o podnikání na kapitálovém trhu, ve znění zákona č. </w:t>
      </w:r>
      <w:hyperlink r:id="rId50" w:history="1">
        <w:r>
          <w:rPr>
            <w:color w:val="darkblue"/>
            <w:u w:val="single"/>
          </w:rPr>
          <w:t xml:space="preserve">230/2008 Sb.</w:t>
        </w:r>
      </w:hyperlink>
      <w:r>
        <w:rPr>
          <w:sz w:val="19.200000000000003"/>
          <w:szCs w:val="19.200000000000003"/>
        </w:rPr>
        <w:t xml:space="preserve"> a zákona č. </w:t>
      </w:r>
      <w:hyperlink r:id="rId51"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52"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53"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54"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55" w:history="1">
        <w:r>
          <w:rPr>
            <w:color w:val="darkblue"/>
            <w:u w:val="single"/>
          </w:rPr>
          <w:t xml:space="preserve">§ 6</w:t>
        </w:r>
      </w:hyperlink>
      <w:r>
        <w:rPr>
          <w:sz w:val="19.200000000000003"/>
          <w:szCs w:val="19.200000000000003"/>
        </w:rPr>
        <w:t xml:space="preserve"> odst. 1 zákona č. </w:t>
      </w:r>
      <w:hyperlink r:id="rId5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57" w:history="1">
        <w:r>
          <w:rPr>
            <w:color w:val="darkblue"/>
            <w:u w:val="single"/>
          </w:rPr>
          <w:t xml:space="preserve">§ 29</w:t>
        </w:r>
      </w:hyperlink>
      <w:r>
        <w:rPr>
          <w:sz w:val="19.200000000000003"/>
          <w:szCs w:val="19.200000000000003"/>
        </w:rPr>
        <w:t xml:space="preserve"> vyhlášky č. </w:t>
      </w:r>
      <w:hyperlink r:id="rId58"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9"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60"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1"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1"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62" w:history="1">
        <w:r>
          <w:rPr>
            <w:color w:val="darkblue"/>
            <w:u w:val="single"/>
          </w:rPr>
          <w:t xml:space="preserve">§ 321</w:t>
        </w:r>
      </w:hyperlink>
      <w:r>
        <w:rPr>
          <w:sz w:val="19.200000000000003"/>
          <w:szCs w:val="19.200000000000003"/>
        </w:rPr>
        <w:t xml:space="preserve">, </w:t>
      </w:r>
      <w:hyperlink r:id="rId63"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64"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65" w:history="1">
        <w:r>
          <w:rPr>
            <w:color w:val="darkblue"/>
            <w:u w:val="single"/>
          </w:rPr>
          <w:t xml:space="preserve">§ 31</w:t>
        </w:r>
      </w:hyperlink>
      <w:r>
        <w:rPr>
          <w:sz w:val="19.200000000000003"/>
          <w:szCs w:val="19.200000000000003"/>
        </w:rPr>
        <w:t xml:space="preserve"> odst. 6 a </w:t>
      </w:r>
      <w:hyperlink r:id="rId66" w:history="1">
        <w:r>
          <w:rPr>
            <w:color w:val="darkblue"/>
            <w:u w:val="single"/>
          </w:rPr>
          <w:t xml:space="preserve">§ 37a</w:t>
        </w:r>
      </w:hyperlink>
      <w:r>
        <w:rPr>
          <w:sz w:val="19.200000000000003"/>
          <w:szCs w:val="19.200000000000003"/>
        </w:rPr>
        <w:t xml:space="preserve"> zákona č. </w:t>
      </w:r>
      <w:hyperlink r:id="rId67"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9"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0" w:history="1">
        <w:r>
          <w:rPr>
            <w:color w:val="darkblue"/>
            <w:u w:val="single"/>
          </w:rPr>
          <w:t xml:space="preserve">§ 2</w:t>
        </w:r>
      </w:hyperlink>
      <w:r>
        <w:rPr>
          <w:sz w:val="19.200000000000003"/>
          <w:szCs w:val="19.200000000000003"/>
        </w:rPr>
        <w:t xml:space="preserve"> zákona č. </w:t>
      </w:r>
      <w:hyperlink r:id="rId7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72"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73" w:history="1">
        <w:r>
          <w:rPr>
            <w:color w:val="darkblue"/>
            <w:u w:val="single"/>
          </w:rPr>
          <w:t xml:space="preserve">§ 7b</w:t>
        </w:r>
      </w:hyperlink>
      <w:r>
        <w:rPr>
          <w:sz w:val="19.200000000000003"/>
          <w:szCs w:val="19.200000000000003"/>
        </w:rPr>
        <w:t xml:space="preserve"> odst. 1 písm. e) a f) zákona č. </w:t>
      </w:r>
      <w:hyperlink r:id="rId74"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5" w:history="1">
        <w:r>
          <w:rPr>
            <w:color w:val="darkblue"/>
            <w:u w:val="single"/>
          </w:rPr>
          <w:t xml:space="preserve">§ 8</w:t>
        </w:r>
      </w:hyperlink>
      <w:r>
        <w:rPr>
          <w:sz w:val="19.200000000000003"/>
          <w:szCs w:val="19.200000000000003"/>
        </w:rPr>
        <w:t xml:space="preserve"> zákona č. </w:t>
      </w:r>
      <w:hyperlink r:id="rId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77"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8"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9"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80"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8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82" w:history="1">
        <w:r>
          <w:rPr>
            <w:color w:val="darkblue"/>
            <w:u w:val="single"/>
          </w:rPr>
          <w:t xml:space="preserve">§ 8</w:t>
        </w:r>
      </w:hyperlink>
      <w:r>
        <w:rPr>
          <w:sz w:val="19.200000000000003"/>
          <w:szCs w:val="19.200000000000003"/>
        </w:rPr>
        <w:t xml:space="preserve"> zákona č. </w:t>
      </w:r>
      <w:hyperlink r:id="rId83" w:history="1">
        <w:r>
          <w:rPr>
            <w:color w:val="darkblue"/>
            <w:u w:val="single"/>
          </w:rPr>
          <w:t xml:space="preserve">114/1995 Sb.</w:t>
        </w:r>
      </w:hyperlink>
      <w:r>
        <w:rPr>
          <w:sz w:val="19.200000000000003"/>
          <w:szCs w:val="19.200000000000003"/>
        </w:rPr>
        <w:t xml:space="preserve">, o vnitrozemské plavbě.</w:t>
      </w:r>
    </w:p>
    <w:p>
      <w:pPr>
        <w:ind w:left="560" w:right="0"/>
      </w:pPr>
      <w:hyperlink r:id="rId84" w:history="1">
        <w:r>
          <w:rPr>
            <w:color w:val="darkblue"/>
            <w:u w:val="single"/>
          </w:rPr>
          <w:t xml:space="preserve">§ 28</w:t>
        </w:r>
      </w:hyperlink>
      <w:r>
        <w:rPr>
          <w:sz w:val="19.200000000000003"/>
          <w:szCs w:val="19.200000000000003"/>
        </w:rPr>
        <w:t xml:space="preserve"> vyhlášky č. </w:t>
      </w:r>
      <w:hyperlink r:id="rId85"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6"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7"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8"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9" w:history="1">
        <w:r>
          <w:rPr>
            <w:color w:val="darkblue"/>
            <w:u w:val="single"/>
          </w:rPr>
          <w:t xml:space="preserve">§ 24</w:t>
        </w:r>
      </w:hyperlink>
      <w:r>
        <w:rPr>
          <w:sz w:val="19.200000000000003"/>
          <w:szCs w:val="19.200000000000003"/>
        </w:rPr>
        <w:t xml:space="preserve"> odst. 2 písm. a) až c) zákona č. </w:t>
      </w:r>
      <w:hyperlink r:id="rId9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91" w:history="1">
        <w:r>
          <w:rPr>
            <w:color w:val="darkblue"/>
            <w:u w:val="single"/>
          </w:rPr>
          <w:t xml:space="preserve">§ 29</w:t>
        </w:r>
      </w:hyperlink>
      <w:r>
        <w:rPr>
          <w:sz w:val="19.200000000000003"/>
          <w:szCs w:val="19.200000000000003"/>
        </w:rPr>
        <w:t xml:space="preserve"> odst. 4 písm. b) a odst. 5 zákona č. </w:t>
      </w:r>
      <w:hyperlink r:id="rId9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9" w:history="1">
        <w:r>
          <w:rPr>
            <w:color w:val="darkblue"/>
            <w:u w:val="single"/>
          </w:rPr>
          <w:t xml:space="preserve">256/2004 Sb.</w:t>
        </w:r>
      </w:hyperlink>
      <w:r>
        <w:rPr>
          <w:sz w:val="19.200000000000003"/>
          <w:szCs w:val="19.200000000000003"/>
        </w:rPr>
        <w:t xml:space="preserve">, o podnikání na kapitálovém trhu, ve znění zákona č. </w:t>
      </w:r>
      <w:hyperlink r:id="rId92"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93"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94" w:history="1">
        <w:r>
          <w:rPr>
            <w:color w:val="darkblue"/>
            <w:u w:val="single"/>
          </w:rPr>
          <w:t xml:space="preserve">(EU) 2017/2399</w:t>
        </w:r>
      </w:hyperlink>
      <w:r>
        <w:rPr>
          <w:sz w:val="19.200000000000003"/>
          <w:szCs w:val="19.200000000000003"/>
        </w:rPr>
        <w:t xml:space="preserve"> ze dne 12. prosince 2017, kterou se mění směrnice </w:t>
      </w:r>
      <w:hyperlink r:id="rId95"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96" w:history="1">
        <w:r>
          <w:rPr>
            <w:color w:val="darkblue"/>
            <w:u w:val="single"/>
          </w:rPr>
          <w:t xml:space="preserve">§ 5a</w:t>
        </w:r>
      </w:hyperlink>
      <w:r>
        <w:rPr>
          <w:sz w:val="19.200000000000003"/>
          <w:szCs w:val="19.200000000000003"/>
        </w:rPr>
        <w:t xml:space="preserve"> až 7a zákona č. </w:t>
      </w:r>
      <w:hyperlink r:id="rId97"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8"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9"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0" w:history="1">
        <w:r>
          <w:rPr>
            <w:color w:val="darkblue"/>
            <w:u w:val="single"/>
          </w:rPr>
          <w:t xml:space="preserve">§ 5c</w:t>
        </w:r>
      </w:hyperlink>
      <w:r>
        <w:rPr>
          <w:sz w:val="19.200000000000003"/>
          <w:szCs w:val="19.200000000000003"/>
        </w:rPr>
        <w:t xml:space="preserve"> zákona č. </w:t>
      </w:r>
      <w:hyperlink r:id="rId101"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0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03" w:history="1">
        <w:r>
          <w:rPr>
            <w:color w:val="darkblue"/>
            <w:u w:val="single"/>
          </w:rPr>
          <w:t xml:space="preserve">§ 5a</w:t>
        </w:r>
      </w:hyperlink>
      <w:r>
        <w:rPr>
          <w:sz w:val="19.200000000000003"/>
          <w:szCs w:val="19.200000000000003"/>
        </w:rPr>
        <w:t xml:space="preserve"> odst. 1 zákona č. </w:t>
      </w:r>
      <w:hyperlink r:id="rId101" w:history="1">
        <w:r>
          <w:rPr>
            <w:color w:val="darkblue"/>
            <w:u w:val="single"/>
          </w:rPr>
          <w:t xml:space="preserve">363/1999 Sb.</w:t>
        </w:r>
      </w:hyperlink>
      <w:r>
        <w:rPr>
          <w:sz w:val="19.200000000000003"/>
          <w:szCs w:val="19.200000000000003"/>
        </w:rPr>
        <w:t xml:space="preserve">, ve znění zákona č. </w:t>
      </w:r>
      <w:hyperlink r:id="rId10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01"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05"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40"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06"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49"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07"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44"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87"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8"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09"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1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11"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12"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11"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11"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13"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14" w:history="1">
        <w:r>
          <w:rPr>
            <w:color w:val="darkblue"/>
            <w:u w:val="single"/>
          </w:rPr>
          <w:t xml:space="preserve">§ 16b</w:t>
        </w:r>
      </w:hyperlink>
      <w:r>
        <w:rPr>
          <w:sz w:val="19.200000000000003"/>
          <w:szCs w:val="19.200000000000003"/>
        </w:rPr>
        <w:t xml:space="preserve"> zákona č. </w:t>
      </w:r>
      <w:hyperlink r:id="rId4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15" w:history="1">
        <w:r>
          <w:rPr>
            <w:color w:val="darkblue"/>
            <w:u w:val="single"/>
          </w:rPr>
          <w:t xml:space="preserve">§ 39</w:t>
        </w:r>
      </w:hyperlink>
      <w:r>
        <w:rPr>
          <w:sz w:val="19.200000000000003"/>
          <w:szCs w:val="19.200000000000003"/>
        </w:rPr>
        <w:t xml:space="preserve"> odst. 2 písm. b) a c) zákona č. </w:t>
      </w:r>
      <w:hyperlink r:id="rId116" w:history="1">
        <w:r>
          <w:rPr>
            <w:color w:val="darkblue"/>
            <w:u w:val="single"/>
          </w:rPr>
          <w:t xml:space="preserve">155/1995 Sb.</w:t>
        </w:r>
      </w:hyperlink>
      <w:r>
        <w:rPr>
          <w:sz w:val="19.200000000000003"/>
          <w:szCs w:val="19.200000000000003"/>
        </w:rPr>
        <w:t xml:space="preserve">, o důchodovém pojištění, ve znění pozdějších předpisů.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12"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12"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12"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12"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12"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12"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12"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17" w:history="1">
        <w:r>
          <w:rPr>
            <w:color w:val="darkblue"/>
            <w:u w:val="single"/>
          </w:rPr>
          <w:t xml:space="preserve">§ 28</w:t>
        </w:r>
      </w:hyperlink>
      <w:r>
        <w:rPr/>
        <w:t xml:space="preserve"> odst. 1 zákona č. </w:t>
      </w:r>
      <w:hyperlink r:id="rId61"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61"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12"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12"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12"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191/2020 Sb.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sectPr>
      <w:headerReference w:type="default" r:id="rId118"/>
      <w:footerReference w:type="default" r:id="rId1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460/2020 Sb. z </w:t>
          </w:r>
          <w:r>
            <w:rPr>
              <w:rStyle w:val="bold"/>
            </w:rPr>
            <w:t xml:space="preserve">13. 11. 2020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DR=AZ&amp;CP=2006s312-2011s428#C01_H02_P003" TargetMode="External"/><Relationship Id="rId10" Type="http://schemas.openxmlformats.org/officeDocument/2006/relationships/hyperlink" Target="https://esipa.cz/sbirka/sbsrv.dll/sb?DR=AZ&amp;CP=2006s312-2017s183#C01_H02_P003" TargetMode="External"/><Relationship Id="rId11" Type="http://schemas.openxmlformats.org/officeDocument/2006/relationships/hyperlink" Target="https://esipa.cz/sbirka/sbsrv.dll/sb?DR=AZ&amp;CP=1963s099-2007s296#C01_H04_P043" TargetMode="External"/><Relationship Id="rId12" Type="http://schemas.openxmlformats.org/officeDocument/2006/relationships/hyperlink" Target="https://esipa.cz/sbirka/sbsrv.dll/sb?DR=SB&amp;CP=2006s182" TargetMode="External"/><Relationship Id="rId13" Type="http://schemas.openxmlformats.org/officeDocument/2006/relationships/hyperlink" Target="https://esipa.cz/sbirka/sbsrv.dll/sb?DR=AZ&amp;CP=1963s099-2016s298#C01_H04_P043" TargetMode="External"/><Relationship Id="rId14" Type="http://schemas.openxmlformats.org/officeDocument/2006/relationships/hyperlink" Target="https://esipa.cz/sbirka/sbsrv.dll/sb?DR=AZ&amp;CP=1963s099-2007s296#C04_H01_P219A"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AZ&amp;CP=2012s089-2018s171#C04_H02_D02_OD03_P2254" TargetMode="External"/><Relationship Id="rId17" Type="http://schemas.openxmlformats.org/officeDocument/2006/relationships/hyperlink" Target="https://esipa.cz/sbirka/sbsrv.dll/sb?DR=SB&amp;CP=2013s294" TargetMode="External"/><Relationship Id="rId18" Type="http://schemas.openxmlformats.org/officeDocument/2006/relationships/hyperlink" Target="https://esipa.cz/sbirka/sbsrv.dll/sb?CP=2008s056&amp;DR=SB#C01_H03_P080%23C01_H03_P080" TargetMode="External"/><Relationship Id="rId19" Type="http://schemas.openxmlformats.org/officeDocument/2006/relationships/hyperlink" Target="https://esipa.cz/sbirka/sbsrv.dll/sb?DR=SB&amp;CP=2011s139" TargetMode="External"/><Relationship Id="rId20" Type="http://schemas.openxmlformats.org/officeDocument/2006/relationships/hyperlink" Target="https://esipa.cz/sbirka/sbsrv.dll/sb?CP=2008s056&amp;DR=SB#C02_H04_D001_OD001_P367%23C02_H04_D001_OD001_P367" TargetMode="External"/><Relationship Id="rId21" Type="http://schemas.openxmlformats.org/officeDocument/2006/relationships/hyperlink" Target="https://esipa.cz/sbirka/sbsrv.dll/sb?CP=2008s056&amp;DR=SB#C01_H04_D001_P097%23C01_H04_D001_P097" TargetMode="External"/><Relationship Id="rId22" Type="http://schemas.openxmlformats.org/officeDocument/2006/relationships/hyperlink" Target="https://esipa.cz/sbirka/sbsrv.dll/sb?DR=AZ&amp;CP=1992s021-2017s371#C14_P041H" TargetMode="External"/><Relationship Id="rId23" Type="http://schemas.openxmlformats.org/officeDocument/2006/relationships/hyperlink" Target="https://esipa.cz/sbirka/sbsrv.dll/sb?DR=AZ&amp;CP=2015s374-2017s183#C09_H02_P221" TargetMode="External"/><Relationship Id="rId24" Type="http://schemas.openxmlformats.org/officeDocument/2006/relationships/hyperlink" Target="https://esipa.cz/sbirka/sbsrv.dll/sb?DR=SB&amp;CP=2019s031" TargetMode="External"/><Relationship Id="rId25" Type="http://schemas.openxmlformats.org/officeDocument/2006/relationships/hyperlink" Target="https://esipa.cz/sbirka/sbsrv.dll/sb?CP=2008s056&amp;DR=SB#C02_H05_P414%23C02_H05_P414" TargetMode="External"/><Relationship Id="rId26" Type="http://schemas.openxmlformats.org/officeDocument/2006/relationships/hyperlink" Target="https://esipa.cz/sbirka/sbsrv.dll/sb?DR=SB&amp;CP=2017s064" TargetMode="External"/><Relationship Id="rId27" Type="http://schemas.openxmlformats.org/officeDocument/2006/relationships/hyperlink" Target="https://esipa.cz/sbirka/sbsrv.dll/sb?DR=SB&amp;CP=1991s328" TargetMode="External"/><Relationship Id="rId28" Type="http://schemas.openxmlformats.org/officeDocument/2006/relationships/hyperlink" Target="https://esipa.cz/sbirka/sbsrv.dll/sb?DR=SB&amp;CP=1993s122" TargetMode="External"/><Relationship Id="rId29" Type="http://schemas.openxmlformats.org/officeDocument/2006/relationships/hyperlink" Target="https://esipa.cz/sbirka/sbsrv.dll/sb?DR=SB&amp;CP=1998s012" TargetMode="External"/><Relationship Id="rId30" Type="http://schemas.openxmlformats.org/officeDocument/2006/relationships/hyperlink" Target="https://esipa.cz/sbirka/sbsrv.dll/sb?DR=SB&amp;CP=2000s214" TargetMode="External"/><Relationship Id="rId31" Type="http://schemas.openxmlformats.org/officeDocument/2006/relationships/hyperlink" Target="https://esipa.cz/sbirka/sbsrv.dll/sb?DR=SB&amp;CP=2000s368" TargetMode="External"/><Relationship Id="rId32" Type="http://schemas.openxmlformats.org/officeDocument/2006/relationships/hyperlink" Target="https://esipa.cz/sbirka/sbsrv.dll/sb?DR=SB&amp;CP=1990s530" TargetMode="External"/><Relationship Id="rId33" Type="http://schemas.openxmlformats.org/officeDocument/2006/relationships/hyperlink" Target="https://esipa.cz/sbirka/sbsrv.dll/sb?DR=SB&amp;CP=1991s476" TargetMode="External"/><Relationship Id="rId34" Type="http://schemas.openxmlformats.org/officeDocument/2006/relationships/hyperlink" Target="https://esipa.cz/sbirka/sbsrv.dll/sb?DR=SB&amp;CP=1993s001" TargetMode="External"/><Relationship Id="rId35" Type="http://schemas.openxmlformats.org/officeDocument/2006/relationships/hyperlink" Target="https://esipa.cz/sbirka/sbsrv.dll/sb?DR=SB&amp;CP=1997s347" TargetMode="External"/><Relationship Id="rId36" Type="http://schemas.openxmlformats.org/officeDocument/2006/relationships/hyperlink" Target="https://esipa.cz/sbirka/sbsrv.dll/sb?DR=SB&amp;CP=2011s466" TargetMode="External"/><Relationship Id="rId37" Type="http://schemas.openxmlformats.org/officeDocument/2006/relationships/hyperlink" Target="https://esipa.cz/sbirka/sbsrv.dll/sb?DR=SB&amp;CP=1992s280" TargetMode="External"/><Relationship Id="rId38" Type="http://schemas.openxmlformats.org/officeDocument/2006/relationships/hyperlink" Target="https://esipa.cz/sbirka/sbsrv.dll/sb?DR=AZ&amp;CP=1963s099-2007s296#C03_H01_P092" TargetMode="External"/><Relationship Id="rId39" Type="http://schemas.openxmlformats.org/officeDocument/2006/relationships/hyperlink" Target="https://esipa.cz/sbirka/sbsrv.dll/sb?DR=AZ&amp;CP=1963s099-2007s296#C03_H02_P134" TargetMode="External"/><Relationship Id="rId40" Type="http://schemas.openxmlformats.org/officeDocument/2006/relationships/hyperlink" Target="https://esipa.cz/sbirka/sbsrv.dll/sb?DR=SB&amp;CP=2006s312" TargetMode="External"/><Relationship Id="rId41" Type="http://schemas.openxmlformats.org/officeDocument/2006/relationships/hyperlink" Target="https://esipa.cz/sbirka/sbsrv.dll/sb?DR=SB&amp;CP=2004s235" TargetMode="External"/><Relationship Id="rId42" Type="http://schemas.openxmlformats.org/officeDocument/2006/relationships/hyperlink" Target="https://esipa.cz/sbirka/sbsrv.dll/sb?DR=SB&amp;CP=2000s458" TargetMode="External"/><Relationship Id="rId43" Type="http://schemas.openxmlformats.org/officeDocument/2006/relationships/hyperlink" Target="https://esipa.cz/sbirka/sbsrv.dll/sb?DR=AZ&amp;CP=1964s040-2007s296#C02_H02_P137" TargetMode="External"/><Relationship Id="rId44" Type="http://schemas.openxmlformats.org/officeDocument/2006/relationships/hyperlink" Target="https://esipa.cz/sbirka/sbsrv.dll/sb?DR=SB&amp;CP=1992s586" TargetMode="External"/><Relationship Id="rId45" Type="http://schemas.openxmlformats.org/officeDocument/2006/relationships/hyperlink" Target="https://esipa.cz/sbirka/sbsrv.dll/sb?DR=SB&amp;CP=2007s362" TargetMode="External"/><Relationship Id="rId46" Type="http://schemas.openxmlformats.org/officeDocument/2006/relationships/hyperlink" Target="https://esipa.cz/sbirka/sbsrv.dll/sb?DR=AZ&amp;CP=1991s513-2007s296#C01_H03_P038I" TargetMode="External"/><Relationship Id="rId47" Type="http://schemas.openxmlformats.org/officeDocument/2006/relationships/hyperlink" Target="https://esipa.cz/sbirka/sbsrv.dll/sb?DR=SB&amp;CP=2008s300" TargetMode="External"/><Relationship Id="rId48" Type="http://schemas.openxmlformats.org/officeDocument/2006/relationships/hyperlink" Target="https://esipa.cz/sbirka/sbsrv.dll/sb?DR=AZ&amp;CP=1963s099-2007s296#C01_H04_P053" TargetMode="External"/><Relationship Id="rId49" Type="http://schemas.openxmlformats.org/officeDocument/2006/relationships/hyperlink" Target="https://esipa.cz/sbirka/sbsrv.dll/sb?DR=SB&amp;CP=2004s256" TargetMode="External"/><Relationship Id="rId50" Type="http://schemas.openxmlformats.org/officeDocument/2006/relationships/hyperlink" Target="https://esipa.cz/sbirka/sbsrv.dll/sb?DR=SB&amp;CP=2008s230" TargetMode="External"/><Relationship Id="rId51" Type="http://schemas.openxmlformats.org/officeDocument/2006/relationships/hyperlink" Target="https://esipa.cz/sbirka/sbsrv.dll/sb?DR=SB&amp;CP=2011s188" TargetMode="External"/><Relationship Id="rId52" Type="http://schemas.openxmlformats.org/officeDocument/2006/relationships/hyperlink" Target="https://esipa.cz/sbirka/sbsrv.dll/sb?DR=AZ&amp;CP=1963s099-2007s296#C02_H02_P076" TargetMode="External"/><Relationship Id="rId53" Type="http://schemas.openxmlformats.org/officeDocument/2006/relationships/hyperlink" Target="https://esipa.cz/sbirka/sbsrv.dll/sb?DR=AZ&amp;CP=1963s099-2007s296#C01_H04_P042" TargetMode="External"/><Relationship Id="rId54" Type="http://schemas.openxmlformats.org/officeDocument/2006/relationships/hyperlink" Target="https://esipa.cz/sbirka/sbsrv.dll/sb?DR=AZ&amp;CP=1991s513-2007s296#C02_H01_D01_P066A" TargetMode="External"/><Relationship Id="rId55" Type="http://schemas.openxmlformats.org/officeDocument/2006/relationships/hyperlink" Target="https://esipa.cz/sbirka/sbsrv.dll/sb?DR=AZ&amp;CP=1988s061-2007s296#C02_OD02_P006" TargetMode="External"/><Relationship Id="rId56" Type="http://schemas.openxmlformats.org/officeDocument/2006/relationships/hyperlink" Target="https://esipa.cz/sbirka/sbsrv.dll/sb?DR=SB&amp;CP=1988s061" TargetMode="External"/><Relationship Id="rId57" Type="http://schemas.openxmlformats.org/officeDocument/2006/relationships/hyperlink" Target="https://esipa.cz/sbirka/sbsrv.dll/sb?DR=AZ&amp;CP=1967s037-2002s432#C04_P029" TargetMode="External"/><Relationship Id="rId58" Type="http://schemas.openxmlformats.org/officeDocument/2006/relationships/hyperlink" Target="https://esipa.cz/sbirka/sbsrv.dll/sb?DR=SB&amp;CP=1967s037" TargetMode="External"/><Relationship Id="rId59" Type="http://schemas.openxmlformats.org/officeDocument/2006/relationships/hyperlink" Target="https://esipa.cz/sbirka/sbsrv.dll/sb?DR=SB&amp;CP=1993s077" TargetMode="External"/><Relationship Id="rId60" Type="http://schemas.openxmlformats.org/officeDocument/2006/relationships/hyperlink" Target="https://esipa.cz/sbirka/sbsrv.dll/sb?DR=AZ&amp;CP=1963s099-2007s296#C03_H01_P079" TargetMode="External"/><Relationship Id="rId61" Type="http://schemas.openxmlformats.org/officeDocument/2006/relationships/hyperlink" Target="https://esipa.cz/sbirka/sbsrv.dll/sb?DR=SB&amp;CP=2004s190" TargetMode="External"/><Relationship Id="rId62" Type="http://schemas.openxmlformats.org/officeDocument/2006/relationships/hyperlink" Target="https://esipa.cz/sbirka/sbsrv.dll/sb?DR=AZ&amp;CP=1963s099-2007s296#C06_H05_P321" TargetMode="External"/><Relationship Id="rId63" Type="http://schemas.openxmlformats.org/officeDocument/2006/relationships/hyperlink" Target="https://esipa.cz/sbirka/sbsrv.dll/sb?DR=AZ&amp;CP=1963s099-2007s296#C06_H05_P322" TargetMode="External"/><Relationship Id="rId64" Type="http://schemas.openxmlformats.org/officeDocument/2006/relationships/hyperlink" Target="https://esipa.cz/sbirka/sbsrv.dll/sb?DR=AZ&amp;CP=1963s099-2007s296#C06_H02_P279" TargetMode="External"/><Relationship Id="rId65" Type="http://schemas.openxmlformats.org/officeDocument/2006/relationships/hyperlink" Target="https://esipa.cz/sbirka/sbsrv.dll/sb?DR=AZ&amp;CP=1988s044-2007s296#C07_P031" TargetMode="External"/><Relationship Id="rId66" Type="http://schemas.openxmlformats.org/officeDocument/2006/relationships/hyperlink" Target="https://esipa.cz/sbirka/sbsrv.dll/sb?DR=AZ&amp;CP=1988s044-2007s296#C09_P037A" TargetMode="External"/><Relationship Id="rId67" Type="http://schemas.openxmlformats.org/officeDocument/2006/relationships/hyperlink" Target="https://esipa.cz/sbirka/sbsrv.dll/sb?DR=SB&amp;CP=1988s044" TargetMode="External"/><Relationship Id="rId68" Type="http://schemas.openxmlformats.org/officeDocument/2006/relationships/hyperlink" Target="https://esipa.cz/sbirka/sbsrv.dll/sb?DR=SB&amp;CP=2000s219" TargetMode="External"/><Relationship Id="rId69" Type="http://schemas.openxmlformats.org/officeDocument/2006/relationships/hyperlink" Target="https://esipa.cz/sbirka/sbsrv.dll/sb?DR=AZ&amp;CP=1991s513-2007s296#C01_H01_D02_P005" TargetMode="External"/><Relationship Id="rId70" Type="http://schemas.openxmlformats.org/officeDocument/2006/relationships/hyperlink" Target="https://esipa.cz/sbirka/sbsrv.dll/sb?DR=AZ&amp;CP=1987s020-2007s158#C01_P002" TargetMode="External"/><Relationship Id="rId71" Type="http://schemas.openxmlformats.org/officeDocument/2006/relationships/hyperlink" Target="https://esipa.cz/sbirka/sbsrv.dll/sb?DR=SB&amp;CP=1987s020" TargetMode="External"/><Relationship Id="rId72" Type="http://schemas.openxmlformats.org/officeDocument/2006/relationships/hyperlink" Target="https://esipa.cz/sbirka/sbsrv.dll/sb?DR=AZ&amp;CP=1991s513-2007s296#C02_H01_D01_P058" TargetMode="External"/><Relationship Id="rId73" Type="http://schemas.openxmlformats.org/officeDocument/2006/relationships/hyperlink" Target="https://esipa.cz/sbirka/sbsrv.dll/sb?DR=AZ&amp;CP=1996s085-2007s296#C02_H01_P007B" TargetMode="External"/><Relationship Id="rId74" Type="http://schemas.openxmlformats.org/officeDocument/2006/relationships/hyperlink" Target="https://esipa.cz/sbirka/sbsrv.dll/sb?DR=SB&amp;CP=1996s085" TargetMode="External"/><Relationship Id="rId75" Type="http://schemas.openxmlformats.org/officeDocument/2006/relationships/hyperlink" Target="https://esipa.cz/sbirka/sbsrv.dll/sb?DR=AZ&amp;CP=1991s455-2007s296#C01_H02_P008" TargetMode="External"/><Relationship Id="rId76" Type="http://schemas.openxmlformats.org/officeDocument/2006/relationships/hyperlink" Target="https://esipa.cz/sbirka/sbsrv.dll/sb?DR=SB&amp;CP=1991s455" TargetMode="External"/><Relationship Id="rId77" Type="http://schemas.openxmlformats.org/officeDocument/2006/relationships/hyperlink" Target="https://esipa.cz/sbirka/sbsrv.dll/sb?DR=AZ&amp;CP=1963s099-2007s296#C03_H01_P091" TargetMode="External"/><Relationship Id="rId78" Type="http://schemas.openxmlformats.org/officeDocument/2006/relationships/hyperlink" Target="https://esipa.cz/sbirka/sbsrv.dll/sb?DR=AZ&amp;CP=1963s099-2007s296#C03_H01_P093" TargetMode="External"/><Relationship Id="rId79" Type="http://schemas.openxmlformats.org/officeDocument/2006/relationships/hyperlink" Target="https://esipa.cz/sbirka/sbsrv.dll/sb?DR=SB&amp;CP=2000s118" TargetMode="External"/><Relationship Id="rId80" Type="http://schemas.openxmlformats.org/officeDocument/2006/relationships/hyperlink" Target="https://esipa.cz/sbirka/sbsrv.dll/sb?DR=SB&amp;CP=2004s436" TargetMode="External"/><Relationship Id="rId81" Type="http://schemas.openxmlformats.org/officeDocument/2006/relationships/hyperlink" Target="https://esipa.cz/sbirka/sbsrv.dll/sb?DR=SB&amp;CP=1992s589" TargetMode="External"/><Relationship Id="rId82" Type="http://schemas.openxmlformats.org/officeDocument/2006/relationships/hyperlink" Target="https://esipa.cz/sbirka/sbsrv.dll/sb?DR=AZ&amp;CP=1995s114-2006s186#C03_P008" TargetMode="External"/><Relationship Id="rId83" Type="http://schemas.openxmlformats.org/officeDocument/2006/relationships/hyperlink" Target="https://esipa.cz/sbirka/sbsrv.dll/sb?DR=SB&amp;CP=1995s114" TargetMode="External"/><Relationship Id="rId84" Type="http://schemas.openxmlformats.org/officeDocument/2006/relationships/hyperlink" Target="https://esipa.cz/sbirka/sbsrv.dll/sb?DR=AZ&amp;CP=1995s222-2006s517#P028" TargetMode="External"/><Relationship Id="rId85" Type="http://schemas.openxmlformats.org/officeDocument/2006/relationships/hyperlink" Target="https://esipa.cz/sbirka/sbsrv.dll/sb?DR=SB&amp;CP=1995s222" TargetMode="External"/><Relationship Id="rId86" Type="http://schemas.openxmlformats.org/officeDocument/2006/relationships/hyperlink" Target="https://esipa.cz/sbirka/sbsrv.dll/sb?DR=SB&amp;CP=2000s026" TargetMode="External"/><Relationship Id="rId87" Type="http://schemas.openxmlformats.org/officeDocument/2006/relationships/hyperlink" Target="https://esipa.cz/sbirka/sbsrv.dll/sb?DR=SB&amp;CP=1991s563" TargetMode="External"/><Relationship Id="rId88" Type="http://schemas.openxmlformats.org/officeDocument/2006/relationships/hyperlink" Target="https://esipa.cz/sbirka/sbsrv.dll/sb?DR=SB&amp;CP=2001s143" TargetMode="External"/><Relationship Id="rId89" Type="http://schemas.openxmlformats.org/officeDocument/2006/relationships/hyperlink" Target="https://esipa.cz/sbirka/sbsrv.dll/sb?DR=AZ&amp;CP=2002s124-2007s120#C04_P024" TargetMode="External"/><Relationship Id="rId90" Type="http://schemas.openxmlformats.org/officeDocument/2006/relationships/hyperlink" Target="https://esipa.cz/sbirka/sbsrv.dll/sb?DR=SB&amp;CP=2002s124" TargetMode="External"/><Relationship Id="rId91" Type="http://schemas.openxmlformats.org/officeDocument/2006/relationships/hyperlink" Target="https://esipa.cz/sbirka/sbsrv.dll/sb?DR=AZ&amp;CP=2002s124-2007s120#C04_P029" TargetMode="External"/><Relationship Id="rId92" Type="http://schemas.openxmlformats.org/officeDocument/2006/relationships/hyperlink" Target="https://esipa.cz/sbirka/sbsrv.dll/sb?DR=SB&amp;CP=2010s409" TargetMode="External"/><Relationship Id="rId93" Type="http://schemas.openxmlformats.org/officeDocument/2006/relationships/hyperlink" Target="https://esipa.cz/sbirka/sbsrv.dll/sb?DR=SB&amp;CP=32001L0024" TargetMode="External"/><Relationship Id="rId94" Type="http://schemas.openxmlformats.org/officeDocument/2006/relationships/hyperlink" Target="https://esipa.cz/sbirka/sbsrv.dll/sb?DR=SB&amp;CP=32017L2399" TargetMode="External"/><Relationship Id="rId95" Type="http://schemas.openxmlformats.org/officeDocument/2006/relationships/hyperlink" Target="https://esipa.cz/sbirka/sbsrv.dll/sb?DR=SB&amp;CP=32014L0059" TargetMode="External"/><Relationship Id="rId96" Type="http://schemas.openxmlformats.org/officeDocument/2006/relationships/hyperlink" Target="https://esipa.cz/sbirka/sbsrv.dll/sb?DR=AZ&amp;CP=1992s021-2007s296#C02_P005A" TargetMode="External"/><Relationship Id="rId97" Type="http://schemas.openxmlformats.org/officeDocument/2006/relationships/hyperlink" Target="https://esipa.cz/sbirka/sbsrv.dll/sb?DR=SB&amp;CP=1992s021" TargetMode="External"/><Relationship Id="rId98" Type="http://schemas.openxmlformats.org/officeDocument/2006/relationships/hyperlink" Target="https://esipa.cz/sbirka/sbsrv.dll/sb?DR=SB&amp;CP=32000L0012" TargetMode="External"/><Relationship Id="rId99" Type="http://schemas.openxmlformats.org/officeDocument/2006/relationships/hyperlink" Target="https://esipa.cz/sbirka/sbsrv.dll/sb?DR=SB&amp;CP=32001L0017" TargetMode="External"/><Relationship Id="rId100" Type="http://schemas.openxmlformats.org/officeDocument/2006/relationships/hyperlink" Target="https://esipa.cz/sbirka/sbsrv.dll/sb?DR=AZ&amp;CP=1999s363-2007s296#C01_H01_P005C" TargetMode="External"/><Relationship Id="rId101" Type="http://schemas.openxmlformats.org/officeDocument/2006/relationships/hyperlink" Target="https://esipa.cz/sbirka/sbsrv.dll/sb?DR=SB&amp;CP=1999s363" TargetMode="External"/><Relationship Id="rId102" Type="http://schemas.openxmlformats.org/officeDocument/2006/relationships/hyperlink" Target="https://esipa.cz/sbirka/sbsrv.dll/sb?DR=SB&amp;CP=2004s039" TargetMode="External"/><Relationship Id="rId103" Type="http://schemas.openxmlformats.org/officeDocument/2006/relationships/hyperlink" Target="https://esipa.cz/sbirka/sbsrv.dll/sb?DR=AZ&amp;CP=1999s363-2007s296#C01_H01_P005A" TargetMode="External"/><Relationship Id="rId104" Type="http://schemas.openxmlformats.org/officeDocument/2006/relationships/hyperlink" Target="https://esipa.cz/sbirka/sbsrv.dll/sb?DR=SB&amp;CP=2004s499" TargetMode="External"/><Relationship Id="rId105" Type="http://schemas.openxmlformats.org/officeDocument/2006/relationships/hyperlink" Target="https://esipa.cz/sbirka/sbsrv.dll/sb?DR=SB&amp;CP=32015R0848" TargetMode="External"/><Relationship Id="rId106" Type="http://schemas.openxmlformats.org/officeDocument/2006/relationships/hyperlink" Target="https://esipa.cz/sbirka/sbsrv.dll/sb?DR=SB&amp;CP=2009s190" TargetMode="External"/><Relationship Id="rId107" Type="http://schemas.openxmlformats.org/officeDocument/2006/relationships/hyperlink" Target="https://esipa.cz/sbirka/sbsrv.dll/sb?DR=SB&amp;CP=1991s582" TargetMode="External"/><Relationship Id="rId108" Type="http://schemas.openxmlformats.org/officeDocument/2006/relationships/hyperlink" Target="https://esipa.cz/sbirka/sbsrv.dll/sb?DR=SB&amp;CP=2009s093" TargetMode="External"/><Relationship Id="rId109" Type="http://schemas.openxmlformats.org/officeDocument/2006/relationships/hyperlink" Target="https://esipa.cz/sbirka/sbsrv.dll/sb?DR=SB&amp;CP=2008s253" TargetMode="External"/><Relationship Id="rId110" Type="http://schemas.openxmlformats.org/officeDocument/2006/relationships/hyperlink" Target="https://esipa.cz/sbirka/sbsrv.dll/sb?DR=SB&amp;CP=1994s269" TargetMode="External"/><Relationship Id="rId111" Type="http://schemas.openxmlformats.org/officeDocument/2006/relationships/hyperlink" Target="https://esipa.cz/sbirka/sbsrv.dll/sb?DR=SB&amp;CP=2013s304" TargetMode="External"/><Relationship Id="rId112" Type="http://schemas.openxmlformats.org/officeDocument/2006/relationships/hyperlink" Target="https://esipa.cz/sbirka/sbsrv.dll/sb?DR=SB&amp;CP=2015s087" TargetMode="External"/><Relationship Id="rId113" Type="http://schemas.openxmlformats.org/officeDocument/2006/relationships/hyperlink" Target="https://esipa.cz/sbirka/sbsrv.dll/sb?DR=SB&amp;CP=2012s089" TargetMode="External"/><Relationship Id="rId114" Type="http://schemas.openxmlformats.org/officeDocument/2006/relationships/hyperlink" Target="https://esipa.cz/sbirka/sbsrv.dll/sb?DR=AZ&amp;CP=1992s586-2018s306#C01_P016B" TargetMode="External"/><Relationship Id="rId115" Type="http://schemas.openxmlformats.org/officeDocument/2006/relationships/hyperlink" Target="https://esipa.cz/sbirka/sbsrv.dll/sb?DR=AZ&amp;CP=1995s155-2018s191_20190101#C04_H02_D01_P039" TargetMode="External"/><Relationship Id="rId116" Type="http://schemas.openxmlformats.org/officeDocument/2006/relationships/hyperlink" Target="https://esipa.cz/sbirka/sbsrv.dll/sb?DR=SB&amp;CP=1995s155" TargetMode="External"/><Relationship Id="rId117" Type="http://schemas.openxmlformats.org/officeDocument/2006/relationships/hyperlink" Target="https://esipa.cz/sbirka/sbsrv.dll/sb?DR=AZ&amp;CP=2004s190%E2%80%912017s183#C02_H03_P028" TargetMode="External"/><Relationship Id="rId118" Type="http://schemas.openxmlformats.org/officeDocument/2006/relationships/header" Target="header1.xml"/><Relationship Id="rId1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460/2020 Sb. z 13. 11. 2020</dc:title>
  <dc:description>Zákon o úpadku a způsobech jeho řešení (insolvenční zákon)</dc:description>
  <dc:subject/>
  <cp:keywords/>
  <cp:category/>
  <cp:lastModifiedBy/>
  <dcterms:created xsi:type="dcterms:W3CDTF">2020-11-13T00:00:00+01:00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