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datovým centrem budova ve smyslu katastrálního zákona nebo její funkčně ucelená část, ve které je umístěna a provozována výpočetní technika serverového typu a další datová infrastruktura určená pro provádění informační činnosti s daty.</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i/>
          <w:iCs/>
        </w:rPr>
        <w:t xml:space="preserve"> </w:t>
      </w:r>
      <w:r>
        <w:rPr/>
        <w:t xml:space="preserve"> (6) Státní energetická koncepce je podkladem pro politiku územního rozvoje a územní rozvojový plán. Součástí státní energetické koncepce je vymezení strategických oblastí celorepublikového významu pro umisťování staveb pro energetickou bezpečnost podle zákona o urychlení výstavby strategicky významné infrastruktury; přitom se přihlíží zejména k předpokládané poptávce po energiích, dostupnosti příslušné síťové infrastruktury a potřebnému instalovanému výkonu jednotlivých druhů výroben do těchto oblastí umisťovaných, který je nezbytný ke splnění cílů České republiky v oblasti výroby energie z obnovitelných zdrojů a výroby energie z nízkouhlíkových zdrojů.</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7"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Prováděcí právní předpis stanoví požadavky na regulaci a řízení dodávek tepelné energie, vybavení rozvodných tepelných zařízení tepelnou izolací a regulačními prvky, požadavky na tepelnou izolaci zásobníků tepelné energie, způsob zjišťování tepelných ztrát rozvodných tepelných zařízení, parametry teplonosné látky pro přenos tepelné energie a parametry chladicí látky pro chlazení. Prováděcí právní předpis dále stanoví požadavky na předávací stanice, jejich regulace a vybavení.</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w:t>
      </w:r>
      <w:r>
        <w:rPr/>
        <w:t xml:space="preserve">§ 7</w:t>
      </w:r>
      <w:r>
        <w:rPr/>
        <w:t xml:space="preserve">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s téměř nulovou spotřebou energie stanovené prováděcím právním předpisem, a to podle jeho právního stavu účinného ke dni nabytí právní moci rozhodnutí o povolení záměru podle stavebního zákona. Stavebník rovněž na vyžádání stavebního úřadu nebo kontrolního orgánu podle tohoto zákona dokládá splnění požadavků na energetickou náročnost budovy v průběhu provádění stavby, a to průkazem energetické náročnosti budovy zpracovaným podle dokumentace pro provádění stavby. Splnění požadavků na energetickou náročnost budovy dokládá stavebník k žádosti o vydání kolaudačního rozhodnutí průkazem energetické náročnosti budovy zpracovaným podle skutečného provedení stavby.</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stanovené prováděcím právním předpisem, a to podle jeho právního stavu účinného ke dni nabytí právní moci rozhodnutí o povolení záměru podle stavebního zákona nebo ke dni zahájení větší změny dokončené budovy podle stavebního zákona, pokud změna dokončené stavby nepodléhá povolení záměru. Splnění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stavebního úřadu nebo kontrolního orgánu podle tohoto zákona.</w:t>
      </w:r>
    </w:p>
    <w:p>
      <w:pPr>
        <w:ind w:left="0" w:right="0"/>
      </w:pPr>
      <w:r>
        <w:rPr>
          <w:b/>
          <w:bCs/>
        </w:rPr>
        <w:t xml:space="preserve">(3)</w:t>
      </w:r>
      <w:r>
        <w:rPr/>
        <w:t xml:space="preserve"> V případě jiné než větší změny dokončené budovy nebo větší změny dokončené budovy, při které jsou hodnoceny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kopie dokladů, které se vztahují k měněným stavebním prvkům obálky budovy nebo měněným technickým systémům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s výjimkou případů podle písmene f), přístroji regulujícími dodávku tepelné energie;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pravidly pro vytápění a dodávku teplé vody se pro účely tohoto zákona rozumí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stanovené otopné období a podmínky zahájení a přerušení dodávek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stanovený časový úsek, ve kterém jsou dodávky tepelné energie a teplé vody v průběhu dne uskutečňovány,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stanovené průměrné teploty vnitřního vzduchu ve vytápěných prostorech, které jsou v průběhu dne v otopném období dosahovány, a nepřekročitelné limity průměrných teplot vnitřního vzduchu,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stanovené teploty dodávané teplé vody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stanovené omezení a krátkodobé přerušení dodávek tepelné energie a teplé vody, pokud to vyžadují objektivní okolnosti zajišťování dodávek tepelné energie a teplé vody,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vybavit v případě výstavby nové budovy nebo výměny zdroje tepla v technicky a ekonomicky proveditelných případech systémy vytápění a klimatizace přístroji, které individuálně regulují teplotu v každé místnosti, prostoru nebo zónově v souboru místností se shodnými požadavky na regulaci vnitřní teploty; vlastníci a uživatelé bytů nebo nebytových prostor jsou povinni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zajistí energetický audit, který prokáže,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Prováděcí právní předpis dále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vytápění a dodávku teplé 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pravidla pro vytápění a dodávku teplé vody v případech předcházení stavu nouze v teplárenství nebo v případě stavu nouze v teplárenství vyhlášeném pro celé území státu podle energetického zákona</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měření množství tepelné energie a teplé vody spotřebované v budově,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rozsah vybavení každého bytu a nebytového prostoru přístroji registrujícími dodávku tepelné energie,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provedení regulace vytápění a přípravy teplé vody v budově,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rozsah vybavení vnitřních tepelných zařízení budovy přístroji regulujícími dodávku tepelné energie pro plnění povinnosti podle odstavce 4 písm. a),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vybavení systémů vytápění a systémů klimatizace přístroji pro účely plnění povinnosti podle odstavce 4 písm. f),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kritéria a postupy pro účely posouzení technické a ekonomické proveditelnosti plnění povinností podle odstavce 4 písm. f).</w:t>
      </w:r>
    </w:p>
    <w:p>
      <w:pPr>
        <w:ind w:left="0" w:right="0"/>
      </w:pPr>
      <w:r>
        <w:rPr>
          <w:b/>
          <w:bCs/>
        </w:rPr>
        <w:t xml:space="preserve">(9)</w:t>
      </w:r>
      <w:r>
        <w:rPr/>
        <w:t xml:space="preserve"> Změna způsobu vytápění budovy připojené na soustavu zásobování tepelnou energií může být provedena pouze na základě povolení podle stavebního zákona a za podmínky, že nedojde ke zvýšení hodnot ukazatele energetické náročnosti budovy celkové dodané energie nebo primární energie z neobnovitelných zdrojů energie; to neplatí, pokud stávající způsob vytápění není možné nadále využívat. Splnění podmínky podle věty předchozí dokládá stavebník průkazem energetické náročnosti budov k žádosti o povolení. V případě budovy s více bytovými jednotkami, která je připojena na soustavu zásobování tepelnou energií, lze změnu způsobu vytápění povolit pouze pro celou budovu.</w:t>
      </w:r>
    </w:p>
    <w:p>
      <w:pPr>
        <w:ind w:left="0" w:right="0"/>
      </w:pP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dokladů předkládaných stavebníkem ke kolaudaci stavby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obsahovat 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(5)</w:t>
      </w:r>
      <w:r>
        <w:rPr/>
        <w:t xml:space="preserve"> Povinnosti podle odstavců 1 až 3 se nevztahují na případy uvedené v </w:t>
      </w:r>
      <w:r>
        <w:rPr/>
        <w:t xml:space="preserve">§ 7</w:t>
      </w:r>
      <w:r>
        <w:rPr/>
        <w:t xml:space="preserve">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w:t>
      </w:r>
      <w:r>
        <w:rPr/>
        <w:t xml:space="preserve">§ 7</w:t>
      </w:r>
      <w:r>
        <w:rPr/>
        <w:t xml:space="preserve">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technické a ekonomické proveditelnosti instalace vybraných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posouzení technické a ekonomické proveditelnosti využití odpadního tepla.</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 součástí dokladové části dokumentace pro provádění stavby podle jiného právního předpisu; 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9"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9c</w:t>
      </w:r>
      <w:r>
        <w:rPr>
          <w:rStyle w:val="hidden"/>
        </w:rPr>
        <w:t xml:space="preserve"> -</w:t>
      </w:r>
      <w:br/>
      <w:r>
        <w:rPr/>
        <w:t xml:space="preserve">Hospodárné užití energie datovými centry</w:t>
      </w:r>
    </w:p>
    <w:p>
      <w:pPr>
        <w:ind w:left="0" w:right="0"/>
      </w:pPr>
      <w:r>
        <w:rPr>
          <w:b/>
          <w:bCs/>
        </w:rPr>
        <w:t xml:space="preserve">(1)</w:t>
      </w:r>
      <w:r>
        <w:rPr/>
        <w:t xml:space="preserve"> Vlastník nebo provozovatel datového centra o celkovém příkonu nad 500 kW každoročně nejpozději do 31. ledna kalendářního roku zveřejňuje způsobem umožňujícím dálkový přístup souhrnnou informaci o datovém centru obsahující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datového centra,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obchodní firmu nebo jméno, popřípadě připojené dodatky charakterizující blíže osobu podnikatele nebo obchodní závod, vlastníka nebo provozovatele datového centra,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místa umístění datového centra,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zahájení provozu datového centra,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rozloze podlahové plochy datového centra uvedený v metrech čtverečných,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celkovém příkonu datového centra,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ročním objemu odeslaných, přijatých, zpracovaných a uložených dat v souvislosti s provozováním datového centra,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o spotřebě energie a vody v souvislosti s provozováním datového centra,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provozní teploty výpočetní techniky datového centra,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způsobu zpětného využití energie odpadního tepla vyprodukovaného při provozování výpočetní techniky datového centra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informaci o využití zařízení vyrábějících energii z obnovitelných zdrojů energie v zájmu zajištění provozu datového centra.</w:t>
      </w:r>
    </w:p>
    <w:p>
      <w:pPr>
        <w:ind w:left="0" w:right="0"/>
      </w:pPr>
      <w:r>
        <w:rPr>
          <w:b/>
          <w:bCs/>
        </w:rPr>
        <w:t xml:space="preserve">(2)</w:t>
      </w:r>
      <w:r>
        <w:rPr/>
        <w:t xml:space="preserve"> Povinnost podle odstavce 1 se nevztahuje na datová centra využívaná pro účely zajišťování obrany České republiky a zajišťování vnitřní bezpečnosti a veřejného pořádku České republiky.</w:t>
      </w:r>
    </w:p>
    <w:p>
      <w:pPr>
        <w:ind w:left="0" w:right="0"/>
      </w:pPr>
      <w:r>
        <w:rPr>
          <w:b/>
          <w:bCs/>
        </w:rPr>
        <w:t xml:space="preserve">(3)</w:t>
      </w:r>
      <w:r>
        <w:rPr/>
        <w:t xml:space="preserve"> Seznam datových center podle odstavce 1 obsahující název datového centra, adresu místa umístění datového centra a identifikaci jeho vlastníka nebo provozovatele podle odstavce 1 písm. b) vede ministerstvo. Vlastník nebo provozovatel datového centra oznámí ministerstvu nejpozději do dvou měsíců ode dne, kdy celkový příkon datového centra dosáhl hodnoty 500 kW, že se stal povinnou osobou k plnění informační povinnosti podle odstavce 1.</w:t>
      </w:r>
    </w:p>
    <w:p>
      <w:pPr>
        <w:ind w:left="0" w:right="0"/>
      </w:pPr>
      <w:r>
        <w:rPr>
          <w:b/>
          <w:bCs/>
        </w:rPr>
        <w:t xml:space="preserve">(4)</w:t>
      </w:r>
      <w:r>
        <w:rPr/>
        <w:t xml:space="preserve"> Vlastník nebo provozovatel datového centra o celkovém příkonu vyšším než 1 MW je povinen při jeho výstavbě nebo navýšení příkonu o více než 25 % zajistit zpracování energetického posudku podle </w:t>
      </w:r>
      <w:r>
        <w:rPr/>
        <w:t xml:space="preserve">§ 9a</w:t>
      </w:r>
      <w:r>
        <w:rPr/>
        <w:t xml:space="preserve"> odst. 2 písm. f),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objem energie odpadního tepla vyprodukovaného výpočetní technikou datového centra,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proveditelnosti možnosti využití odpadního tepla vyprodukovaného při provozování datového centra,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odpadního tepla vyprodukovaného v rámci provozování datového centra,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opatření pro využití odpadního tepla vyprodukovaného v rámci provozu datového centra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identifikaci potenciálních míst odběru zohledňující možnosti dodávek tepla do soustavy zásobování tepelnou energií.</w:t>
      </w:r>
    </w:p>
    <w:p>
      <w:pPr>
        <w:ind w:left="0" w:right="0"/>
      </w:pPr>
      <w:r>
        <w:rPr>
          <w:b/>
          <w:bCs/>
        </w:rPr>
        <w:t xml:space="preserve">(5)</w:t>
      </w:r>
      <w:r>
        <w:rPr/>
        <w:t xml:space="preserve"> Povinnost podle odstavce 4 neplatí v případě, že vlastník nebo provozovatel zajistil využití energie odpadního tepla vyprodukovaného výpočetní technikou datového centra podle odstavce 6.</w:t>
      </w:r>
    </w:p>
    <w:p>
      <w:pPr>
        <w:ind w:left="0" w:right="0"/>
      </w:pPr>
      <w:r>
        <w:rPr>
          <w:b/>
          <w:bCs/>
        </w:rPr>
        <w:t xml:space="preserve">(6)</w:t>
      </w:r>
      <w:r>
        <w:rPr/>
        <w:t xml:space="preserve"> Stavebník nebo vlastník datového centra o celkovém příkonu vyšším než 1 MW je povinen zajistit využití energie odpadního tepla vyprodukovaného výpočetní technikou datového centra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dodávkami tepelné energie do soustavy zásobování tepelnou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dodávkou tepelné energie odběrateli za podmínek stanovených energetickým zákonem</w:t>
      </w:r>
      <w:r>
        <w:rPr>
          <w:vertAlign w:val="superscript"/>
        </w:rPr>
        <w:t xml:space="preserve">2</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přímou spotřebou této energie v energetickém hospodářství vlastníka nebo provozovatele datového centra nebo jeho ucelené části.</w:t>
      </w:r>
    </w:p>
    <w:p>
      <w:pPr>
        <w:ind w:left="0" w:right="0"/>
      </w:pPr>
      <w:r>
        <w:rPr>
          <w:b/>
          <w:bCs/>
        </w:rPr>
        <w:t xml:space="preserve">(7)</w:t>
      </w:r>
      <w:r>
        <w:rPr/>
        <w:t xml:space="preserve"> Stavebník nebo vlastník datového centra podle odstavce 6 je povinen zajistit využití energie odpadního tepla vyprodukovaného výpočetní technikou datového centra ke dni zahájení provozu datového centra s plánovaným celkovým příkonem vyšším než 1 MW nebo ke dni, kdy datové centrum dosáhne celkového příkonu vyššího než 1 MW. Povinnost podle odstavce 6 neplatí v případech, kdy využití energie odpadního tepla vyprodukovaného výpočetní technikou datového centra není technicky proveditelné nebo kdy náklady související s plněním této povinnosti by převyšovaly předpokládané přínosy.</w:t>
      </w:r>
    </w:p>
    <w:p>
      <w:pPr>
        <w:ind w:left="0" w:right="0"/>
      </w:pPr>
      <w:r>
        <w:rPr>
          <w:b/>
          <w:bCs/>
        </w:rPr>
        <w:t xml:space="preserve">(8)</w:t>
      </w:r>
      <w:r>
        <w:rPr/>
        <w:t xml:space="preserve"> Existenci překážek znemožňujících vlastníkovi nebo stavebníkovi datového centra postupovat podle odstavce 6 dokládá stavebník nebo vlastník datového centra energetickým posudkem zpracovaným pro posouzení technické a ekonomické proveditelnosti využití odpadního tepla podle </w:t>
      </w:r>
      <w:r>
        <w:rPr/>
        <w:t xml:space="preserve">§ 9a</w:t>
      </w:r>
      <w:r>
        <w:rPr/>
        <w:t xml:space="preserve"> odst. 2 písm. f), který je součástí dokladové části dokumentace pro provádění stavby podle stavebního zákona.</w:t>
      </w:r>
    </w:p>
    <w:p>
      <w:pPr>
        <w:ind w:left="0" w:right="0"/>
      </w:pPr>
      <w:r>
        <w:rPr>
          <w:b/>
          <w:bCs/>
        </w:rPr>
        <w:t xml:space="preserve">(9)</w:t>
      </w:r>
      <w:r>
        <w:rPr/>
        <w:t xml:space="preserve"> Do celkového příkonu podle odstavců 1, 3, 4 a 6 se započítá příkon výpočetní techniky.</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fyzická osoba složit též v případě, jestliže jí bylo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určená osoba musí být držitelem oprávnění k výkonu činnosti energetického specialisty k činnosti podle odstavce 1.</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splnění podmínek bezúhonnosti podle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oznámit do evidence ministerstva o provedených činnostech energetických specialistů způsobem stanoveným prováděcím právním předpisem informaci o své účasti na vzdělávací akci zařazené do průběžného aktualizačního vzdělávání podle </w:t>
      </w:r>
      <w:r>
        <w:rPr/>
        <w:t xml:space="preserve">§ 10a</w:t>
      </w:r>
      <w:r>
        <w:rPr/>
        <w:t xml:space="preserve"> odst. 6 (dále jen „průběžné vzdělávání“) s uvedením jejího názvu a data konání, a to nejpozději do 3 dnů po ukončení této vzdělávací akce,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 celou dobu tříletého cyklu, ve kterém plní povinnosti podle odstavce 8, uchovávat osvědčení o absolvování všech vzdělávacích akcí zařazených do průběžného vzdělávání, jichž se zúčastnil, a na vyžádání je předkládat ministerstvu nebo Státní energetické inspekci k provedení kontroly jeho účasti na vzdělávacích akcích zařazených do průběžného vzdělávání.</w:t>
      </w:r>
    </w:p>
    <w:p>
      <w:pPr>
        <w:ind w:left="0" w:right="0"/>
      </w:pPr>
      <w:r>
        <w:rPr>
          <w:b/>
          <w:bCs/>
        </w:rPr>
        <w:t xml:space="preserve">(8)</w:t>
      </w:r>
      <w:r>
        <w:rPr/>
        <w:t xml:space="preserve"> Energetický specialista je dále povinen absolvovat v tříletých průběžných vzdělávacích cyklech vzdělávací akce zařazené do průběžného vzdělávání a za toto období účastí na vzdělávacích akcích průběžného vzdělávání získat potřebný počet kreditů stanovený prováděcím právním předpisem; tříleté průběžné vzdělávací cykly začínají plynout prvním dnem po udělení oprávnění k výkonu činnosti energetického specialisty, popřípadě prvním dnem po ukončení posledního tříletého vzdělávacího cyklu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g) až k); informační povinnost podle písmene i) plní určená osoba v rozsahu podle odstavce 2 písm. a).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 Odbornou zkouškou je povinen žadatel o udělení oprávnění k výkonu činnosti energetického specialis-ty, který je fyzickou osobou, vykonat do 12 měsíců po podání žádosti. Státní energetická inspekce na svých internetových stránkách uveřejňuje termíny konání odborných zkoušek.</w:t>
      </w:r>
    </w:p>
    <w:p>
      <w:pPr>
        <w:ind w:left="0" w:right="0"/>
      </w:pPr>
      <w:r>
        <w:rPr>
          <w:b/>
          <w:bCs/>
        </w:rPr>
        <w:t xml:space="preserve">(3)</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zpracování zkušebních otázek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trvání písemné a ústní části odborné zkoušky, organizaci provedení odborné zkoušky a podmínky jejího průběhu,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kritéria pro složení zkušební komise, minimální počet jejích členů a pravidla jejich jmenování, četnost zasedání zkušební komise v kalendářním roce a organizaci a podmínky jednání zkušební komise,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a formu uplatnění omluvy nebo odstoupení od odborné zkoušky a nejvyšší přípustný počet omluv nebo odstoupení od odborné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 a lhůty pro pozvání k účasti na odborné zkoušce Státní energetickou inspekcí,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protokolu o výsledku odborné zkoušky.</w:t>
      </w:r>
    </w:p>
    <w:p>
      <w:pPr>
        <w:ind w:left="0" w:right="0"/>
      </w:pPr>
      <w:r>
        <w:rPr>
          <w:b/>
          <w:bCs/>
        </w:rPr>
        <w:t xml:space="preserve">(4)</w:t>
      </w:r>
      <w:r>
        <w:rPr/>
        <w:t xml:space="preserve"> Tematické zkušební okruhy pro ověření odborné způsobilosti žadatele o udělení oprávnění k výkonu činnosti energetického specialisty v rámci ústní části odborné zkoušky v členění podle jednotlivých specializací výkonu činností energetického specialisty podle </w:t>
      </w:r>
      <w:r>
        <w:rPr/>
        <w:t xml:space="preserve">§ 10</w:t>
      </w:r>
      <w:r>
        <w:rPr/>
        <w:t xml:space="preserve"> odst. 1 a tematické okruhy průběžného vzdělávání zaměřené podle jeho cílů uvedených v odstavci 6 stanoví ministerstvo v součinnosti se Státní energetickou inspekcí a uveřejňuje je na svých internetových stránkách. Společně s tematickými zkušebními okruhy podle věty první ministerstvo na svých internetových stránkách uveřejňuje přehled právních předpisů, technických norem a technických dokumentů z oblastí souvisejících s výkonem činností energetického specialisty podle </w:t>
      </w:r>
      <w:r>
        <w:rPr/>
        <w:t xml:space="preserve">§ 10</w:t>
      </w:r>
      <w:r>
        <w:rPr/>
        <w:t xml:space="preserve"> odst. 1, v jejichž rozsahu je ověřována odborná způsobilost žadatele o udělení oprávnění k výkonu činnosti energetického specialisty v rámci odborné zkoušky.</w:t>
      </w:r>
    </w:p>
    <w:p>
      <w:pPr>
        <w:ind w:left="0" w:right="0"/>
      </w:pPr>
      <w:r>
        <w:rPr>
          <w:b/>
          <w:bCs/>
        </w:rPr>
        <w:t xml:space="preserve">(5)</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 Státní energetická inspekce zveřejňuje na svých internetových stránkách výzvu k podávání žádostí o výběr vzdělávací akce a její zařazení do průběžného vzdělávání a tematické okruhy vzdělávacích akcí průběžného vzdělávání, jichž se výzva týká. Prováděcí právní předpis stanoví formu a způsob, jakými se energetický specialista přihlašuje na vzdělávací akci zařazenou do průběžného vzdělávání. Prováděcí právní předpis dále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žádosti o výběr vzdělávací akce a její zařazení do průběžného vzdělávání, formulář této žádosti, lhůty a technické podmínky podání této žádosti,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kritéria složení odborné komise, pravidla pro jmenování jejích členů, četnost zasedání odborné komise v kalendářním roce a organizaci a podmínky jednání odborné komise,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kritéria výběru vzdělávací akce pro její zařazení do průběžného vzdělávání,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počty kreditů, které je možné přidělit vybrané vzdělávací akci zařazené do průběžného vzdělávání, a kritéria přidělování kreditů vzdělávací akci,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absolvování vzdělávací akce zařazené do průběžného vzdělávání.</w:t>
      </w:r>
    </w:p>
    <w:p>
      <w:pPr>
        <w:ind w:left="0" w:right="0"/>
      </w:pPr>
      <w:r>
        <w:rPr>
          <w:b/>
          <w:bCs/>
        </w:rPr>
        <w:t xml:space="preserve">(6)</w:t>
      </w:r>
      <w:r>
        <w:rPr/>
        <w:t xml:space="preserve"> O výběru vzdělávacích akcí zařazených do průběžného vzdělávání a přidělení počtu kreditů vybrané vzdělávací akci zařazené do průběžného vzdělávání rozhoduje Státní energetická inspekce na návrh odborné komise, jejíž členy jmenuje ředitel Státní energetické inspekce.</w:t>
      </w:r>
    </w:p>
    <w:p>
      <w:pPr>
        <w:ind w:left="0" w:right="0"/>
      </w:pPr>
      <w:r>
        <w:rPr>
          <w:b/>
          <w:bCs/>
        </w:rPr>
        <w:t xml:space="preserve">(7)</w:t>
      </w:r>
      <w:r>
        <w:rPr/>
        <w:t xml:space="preserve"> Vybrané vzdělávací akce zařazené do průběžného vzdělávání, termíny jejich uskutečnění, identifikaci osob zajišťujících jednotlivé vzdělávací akce a počet kreditů přidělených jednotlivým vzdělávacím akcím uveřejňuje Státní energetická inspekce neprodleně po rozhodnutí o jejich výběru podle odstavce 6 v evidenci ministerstva o provedených činnostech energetických specialistů.</w:t>
      </w:r>
    </w:p>
    <w:p>
      <w:pPr>
        <w:ind w:left="0" w:right="0"/>
      </w:pPr>
      <w:r>
        <w:rPr>
          <w:b/>
          <w:bCs/>
        </w:rPr>
        <w:t xml:space="preserve">(8)</w:t>
      </w:r>
      <w:r>
        <w:rPr/>
        <w:t xml:space="preserve"> O absolvování vzdělávací akce zařazené do průběžného vzdělávání vydá Státní energetická inspekce každému jejímu účastníku osvědčení.</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w:t>
      </w:r>
      <w:r>
        <w:rPr/>
        <w:t xml:space="preserve">§ 12</w:t>
      </w:r>
      <w:r>
        <w:rPr/>
        <w:t xml:space="preserve"> odst. 1 písm. m) bodu 1, 2, 3 nebo 4 anebo podle </w:t>
      </w:r>
      <w:r>
        <w:rPr/>
        <w:t xml:space="preserve">§ 12a</w:t>
      </w:r>
      <w:r>
        <w:rPr/>
        <w:t xml:space="preserve">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p>
    <w:p>
      <w:pPr>
        <w:jc w:val="center"/>
        <w:ind w:left="0" w:right="0"/>
      </w:pPr>
      <w:r>
        <w:rPr/>
        <w:t xml:space="preserve">zrušen zákonem č. </w:t>
      </w:r>
      <w:hyperlink r:id="rId10" w:history="1">
        <w:r>
          <w:rPr>
            <w:color w:val="darkblue"/>
            <w:u w:val="single"/>
          </w:rPr>
          <w:t xml:space="preserve">261/2021 Sb.</w:t>
        </w:r>
      </w:hyperlink>
      <w:r>
        <w:rPr/>
        <w:t xml:space="preserve"> (účinnost: 1. února 2022)</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územnímu rozvojovému plánu, zásadám územního rozvoje a územnímu opatření o stavební uzávěře pořizovaného Ministerstvem pro místní rozvoj,</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1"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povinnost podle </w:t>
      </w:r>
      <w:r>
        <w:rPr/>
        <w:t xml:space="preserve">§ 7</w:t>
      </w:r>
      <w:r>
        <w:rPr/>
        <w:t xml:space="preserve">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w:t>
      </w:r>
      <w:r>
        <w:rPr/>
        <w:t xml:space="preserve">§ 7</w:t>
      </w:r>
      <w:r>
        <w:rPr/>
        <w:t xml:space="preserve">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w:t>
      </w:r>
      <w:r>
        <w:rPr/>
        <w:t xml:space="preserve">§ 7</w:t>
      </w:r>
      <w:r>
        <w:rPr/>
        <w:t xml:space="preserve"> odst. 4 nebo </w:t>
      </w:r>
      <w:r>
        <w:rPr/>
        <w:t xml:space="preserve">§ 7a</w:t>
      </w:r>
      <w:r>
        <w:rPr/>
        <w:t xml:space="preserve">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w:t>
      </w:r>
      <w:r>
        <w:rPr/>
        <w:t xml:space="preserve">§ 9a</w:t>
      </w:r>
      <w:r>
        <w:rPr/>
        <w:t xml:space="preserve">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w:t>
      </w:r>
      <w:r>
        <w:rPr/>
        <w:t xml:space="preserve">§ 7a</w:t>
      </w:r>
      <w:r>
        <w:rPr/>
        <w:t xml:space="preserve">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w:t>
      </w:r>
      <w:r>
        <w:rPr/>
        <w:t xml:space="preserve">§ 7a</w:t>
      </w:r>
      <w:r>
        <w:rPr/>
        <w:t xml:space="preserve">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w:t>
      </w:r>
      <w:r>
        <w:rPr/>
        <w:t xml:space="preserve">§ 7</w:t>
      </w:r>
      <w:r>
        <w:rPr/>
        <w:t xml:space="preserve">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w:t>
      </w:r>
      <w:r>
        <w:rPr/>
        <w:t xml:space="preserve">§ 7</w:t>
      </w:r>
      <w:r>
        <w:rPr/>
        <w:t xml:space="preserve">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w:t>
      </w:r>
      <w:r>
        <w:rPr/>
        <w:t xml:space="preserve">§ 7</w:t>
      </w:r>
      <w:r>
        <w:rPr/>
        <w:t xml:space="preserve">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w:t>
      </w:r>
      <w:r>
        <w:rPr/>
        <w:t xml:space="preserve">§ 7a</w:t>
      </w:r>
      <w:r>
        <w:rPr/>
        <w:t xml:space="preserve">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w:t>
      </w:r>
      <w:r>
        <w:rPr/>
        <w:t xml:space="preserve">§ 9a</w:t>
      </w:r>
      <w:r>
        <w:rPr/>
        <w:t xml:space="preserve">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stavebník, vlastník budovy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r>
        <w:rPr/>
        <w:t xml:space="preserve">§ 7</w:t>
      </w:r>
      <w:r>
        <w:rPr/>
        <w:t xml:space="preserve"> odst. 4 písm. d) nebo e) instalovaná podle odstavce 11 věty první byla dálkově odečitatelná v rozsahu a způsobem stanoveným tímto zákonem,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nezajistí, aby po 1. lednu 2027 byla veškerá zařízení, budovy a prostory podle </w:t>
      </w:r>
      <w:r>
        <w:rPr/>
        <w:t xml:space="preserve">§ 7</w:t>
      </w:r>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l) nebo n) nebo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povinnost podle </w:t>
      </w:r>
      <w:r>
        <w:rPr/>
        <w:t xml:space="preserve">§ 7</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w:t>
      </w:r>
      <w:r>
        <w:rPr/>
        <w:t xml:space="preserve">§ 7</w:t>
      </w:r>
      <w:r>
        <w:rPr/>
        <w:t xml:space="preserve">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w:t>
      </w:r>
      <w:r>
        <w:rPr/>
        <w:t xml:space="preserve">§ 7</w:t>
      </w:r>
      <w:r>
        <w:rPr/>
        <w:t xml:space="preserve"> odst. 4 nebo </w:t>
      </w:r>
      <w:r>
        <w:rPr/>
        <w:t xml:space="preserve">§ 7a</w:t>
      </w:r>
      <w:r>
        <w:rPr/>
        <w:t xml:space="preserve">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w:t>
      </w:r>
      <w:r>
        <w:rPr/>
        <w:t xml:space="preserve">§ 7a</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w:t>
      </w:r>
      <w:r>
        <w:rPr/>
        <w:t xml:space="preserve">§ 9a</w:t>
      </w:r>
      <w:r>
        <w:rPr/>
        <w:t xml:space="preserve">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w:t>
      </w:r>
      <w:r>
        <w:rPr/>
        <w:t xml:space="preserve">§ 9a</w:t>
      </w:r>
      <w:r>
        <w:rPr/>
        <w:t xml:space="preserve">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w:t>
      </w:r>
      <w:r>
        <w:rPr/>
        <w:t xml:space="preserve">§ 7a</w:t>
      </w:r>
      <w:r>
        <w:rPr/>
        <w:t xml:space="preserve">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w:t>
      </w:r>
      <w:r>
        <w:rPr/>
        <w:t xml:space="preserve">§ 7a</w:t>
      </w:r>
      <w:r>
        <w:rPr/>
        <w:t xml:space="preserve">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w:t>
      </w:r>
      <w:r>
        <w:rPr/>
        <w:t xml:space="preserve">§ 9a</w:t>
      </w:r>
      <w:r>
        <w:rPr/>
        <w:t xml:space="preserve">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w:t>
      </w:r>
      <w:r>
        <w:rPr/>
        <w:t xml:space="preserve">§ 7a</w:t>
      </w:r>
      <w:r>
        <w:rPr/>
        <w:t xml:space="preserve"> odst. 2 písm. e) nebo </w:t>
      </w:r>
      <w:r>
        <w:rPr/>
        <w:t xml:space="preserve">§ 7a</w:t>
      </w:r>
      <w:r>
        <w:rPr/>
        <w:t xml:space="preserve">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560" w:right="0" w:hanging="560"/>
        <w:tabs>
          <w:tab w:val="right" w:leader="none" w:pos="500"/>
          <w:tab w:val="left" w:leader="none" w:pos="560"/>
        </w:tabs>
      </w:pPr>
      <w:r>
        <w:rPr/>
        <w:t xml:space="preserve">	</w:t>
      </w:r>
      <w:r>
        <w:rPr>
          <w:b/>
          <w:bCs/>
        </w:rPr>
        <w:t xml:space="preserve">s)</w:t>
      </w:r>
      <w:r>
        <w:rPr/>
        <w:t xml:space="preserve">	</w:t>
      </w:r>
      <w:r>
        <w:rPr/>
        <w:t xml:space="preserve">jako stavebník, vlastník budovy,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r>
        <w:rPr/>
        <w:t xml:space="preserve">§ 7</w:t>
      </w:r>
      <w:r>
        <w:rPr/>
        <w:t xml:space="preserve"> odst. 4 písm. d) nebo e) instalovaná podle odstavce 11 věty první byla dálkově odečitatelná v rozsahu a způsobem stanoveným tímto zákonem,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nezajistí, aby po 1. lednu 2027 byla veškerá zařízení, budovy a prostory podle </w:t>
      </w:r>
      <w:r>
        <w:rPr/>
        <w:t xml:space="preserve">§ 7</w:t>
      </w:r>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jako vlastník nebo provozovatel datového centra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nezveřejnil ve stanovené lhůtě souhrnnou informaci podle </w:t>
      </w:r>
      <w:r>
        <w:rPr/>
        <w:t xml:space="preserve">§ 9c</w:t>
      </w:r>
      <w:r>
        <w:rPr/>
        <w:t xml:space="preserve">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nezajistil zpracování energetického posudku způsobem stanoveným v </w:t>
      </w:r>
      <w:r>
        <w:rPr/>
        <w:t xml:space="preserve">§ 9c</w:t>
      </w:r>
      <w:r>
        <w:rPr/>
        <w:t xml:space="preserve"> odst. 4, pokud se jedná o vlastníka nebo provozovatele datového centra o celkovém příkonu vyšším než 1 MW, nebo</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stavebník nebo vlastník datového centra nezajistil využití energie odpadního tepla podle </w:t>
      </w:r>
      <w:r>
        <w:rPr/>
        <w:t xml:space="preserve">§ 9c</w:t>
      </w:r>
      <w:r>
        <w:rPr/>
        <w:t xml:space="preserve"> odst. 6.</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87/2023 Sb.</w:t>
        </w:r>
      </w:hyperlink>
      <w:r>
        <w:rPr/>
        <w:t xml:space="preserve"> (účinnost: 6. dubna 2023)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87/2023 Sb.</w:t>
        </w:r>
      </w:hyperlink>
      <w:r>
        <w:rPr/>
        <w:t xml:space="preserve"> (účinnost: 6. dubna 2023)</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r), s) nebo 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u) nebo odstavce 2 nebo 3.</w:t>
      </w:r>
    </w:p>
    <w:p>
      <w:pPr>
        <w:ind w:left="0" w:right="0"/>
      </w:pPr>
      <w:r>
        <w:rPr>
          <w:b/>
          <w:bCs/>
        </w:rPr>
        <w:t xml:space="preserve">(5)</w:t>
      </w:r>
      <w:r>
        <w:rPr/>
        <w:t xml:space="preserve"> zrušen zákonem č. </w:t>
      </w:r>
      <w:hyperlink r:id="rId11"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1"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při ochraně zájmů chráněných tímto zákonem v řízeních o povolení záměrů výroben tepla o celkovém tepelném příkonu nad 20 MW, která vedou stavební úřady podle stavebního zákona, s výjimkou řízení vedených jinými stavebními úřady podle stavebního zákona. 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750 m</w:t>
      </w:r>
      <w:r>
        <w:rPr>
          <w:vertAlign w:val="superscript"/>
        </w:rPr>
        <w:t xml:space="preserve">2</w:t>
      </w:r>
      <w:r>
        <w:rPr/>
        <w:t xml:space="preserve"> a větší změně dokončené budovy s celkovou energeticky vztažnou plochou větší než 750 m</w:t>
      </w:r>
      <w:r>
        <w:rPr>
          <w:vertAlign w:val="superscript"/>
        </w:rPr>
        <w:t xml:space="preserve">2</w:t>
      </w:r>
      <w:r>
        <w:rPr/>
        <w:t xml:space="preserve"> a v řízení o povolení záměru změny způsobu vytápění budovy připojené na soustavu zásobování tepelnou energií, která vedou stavební úřady podle stavebního zákona. Státní energetická inspekce vydává v těchto řízeních vyjádření.</w:t>
      </w:r>
    </w:p>
    <w:p>
      <w:pPr>
        <w:ind w:left="0" w:right="0"/>
      </w:pPr>
      <w:r>
        <w:rPr>
          <w:b/>
          <w:bCs/>
        </w:rPr>
        <w:t xml:space="preserve">(2)</w:t>
      </w:r>
      <w:r>
        <w:rPr/>
        <w:t xml:space="preserve"> Státní energetická inspekce je dotčeným orgánem státní správy při pořizování územně plánovací dokumentace, pokud se jí vymezují plochy nebo pozemky výrobny elektřiny nebo výrobny tepla o celkovém tepelném příkonu nad 20 MW. Státní energetická inspekce je dále dotčeným orgánem při pořizování územního opatření o stavební uzávěře obdobně podle věty první.</w:t>
      </w:r>
    </w:p>
    <w:p>
      <w:pPr>
        <w:ind w:left="0" w:right="0"/>
      </w:pPr>
      <w:r>
        <w:rPr>
          <w:b/>
          <w:bCs/>
        </w:rPr>
        <w:t xml:space="preserve">(3)</w:t>
      </w:r>
      <w:r>
        <w:rPr/>
        <w:t xml:space="preserve"> Ministerstvo obrany jako dotčený orgán státní správy uplatňuje stanoviska a pořizování územně podle tohoto zákona pro rozhodnutí a pro jiné úkony stavebního úřadu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pořizování územně podle tohoto zákona pro rozhodnutí a pro jiné úkony stavebního úřadu u staveb určených k zajišťování bezpečnosti státu.</w:t>
      </w:r>
    </w:p>
    <w:p>
      <w:pPr>
        <w:ind w:left="0" w:right="0"/>
      </w:pPr>
      <w:r>
        <w:rPr>
          <w:b/>
          <w:bCs/>
        </w:rPr>
        <w:t xml:space="preserve">(5)</w:t>
      </w:r>
      <w:r>
        <w:rPr/>
        <w:t xml:space="preserve"> Ministerstvo spravedlnosti jako dotčený orgán uplatňuje stanoviska a vyjádření podle tohoto zákona pro rozhodnutí a pro jiné úkony stavebního úřadu u staveb pro účely Vězeňské služby České republiky a jejích organizačních jednotek.</w:t>
      </w:r>
    </w:p>
    <w:p>
      <w:pPr>
        <w:ind w:left="0" w:right="0"/>
      </w:pPr>
      <w:r>
        <w:rPr>
          <w:b/>
          <w:bCs/>
        </w:rPr>
        <w:t xml:space="preserve">(6)</w:t>
      </w:r>
      <w:r>
        <w:rPr/>
        <w:t xml:space="preserve"> Stanoviska a vyjádření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 a Kraj Vysočina,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Liberci s působností pro Liberecký a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Brně s působností pro Jihomoravský a Zlínský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Ostravě s působností pro Moravskoslezský a Olomoucký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w:t>
      </w:r>
      <w:r>
        <w:rPr/>
        <w:t xml:space="preserve">§ 12</w:t>
      </w:r>
      <w:r>
        <w:rPr/>
        <w:t xml:space="preserve"> odst. 1 písm. m) bodu 1, 2, 3 nebo 4 nebo </w:t>
      </w:r>
      <w:r>
        <w:rPr/>
        <w:t xml:space="preserve">§ 12a</w:t>
      </w:r>
      <w:r>
        <w:rPr/>
        <w:t xml:space="preserve">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vykonává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zrušen zákonem č. </w:t>
      </w:r>
      <w:hyperlink r:id="rId12" w:history="1">
        <w:r>
          <w:rPr>
            <w:color w:val="darkblue"/>
            <w:u w:val="single"/>
          </w:rPr>
          <w:t xml:space="preserve">87/2023 Sb.</w:t>
        </w:r>
      </w:hyperlink>
      <w:r>
        <w:rPr/>
        <w:t xml:space="preserve"> (účinnost: 6. dubna 2023)</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3"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4" w:history="1">
        <w:r>
          <w:rPr>
            <w:color w:val="darkblue"/>
            <w:u w:val="single"/>
          </w:rPr>
          <w:t xml:space="preserve">2001/77/ES</w:t>
        </w:r>
      </w:hyperlink>
      <w:r>
        <w:rPr>
          <w:sz w:val="19.200000000000003"/>
          <w:szCs w:val="19.200000000000003"/>
        </w:rPr>
        <w:t xml:space="preserve"> a </w:t>
      </w:r>
      <w:hyperlink r:id="rId15"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6"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7"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8"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9" w:history="1">
        <w:r>
          <w:rPr>
            <w:color w:val="darkblue"/>
            <w:u w:val="single"/>
          </w:rPr>
          <w:t xml:space="preserve">(EU) 2018/844</w:t>
        </w:r>
      </w:hyperlink>
      <w:r>
        <w:rPr>
          <w:sz w:val="19.200000000000003"/>
          <w:szCs w:val="19.200000000000003"/>
        </w:rPr>
        <w:t xml:space="preserve"> ze dne 30. května 2018, kterou se mění směrnice </w:t>
      </w:r>
      <w:hyperlink r:id="rId18" w:history="1">
        <w:r>
          <w:rPr>
            <w:color w:val="darkblue"/>
            <w:u w:val="single"/>
          </w:rPr>
          <w:t xml:space="preserve">2010/31/EU</w:t>
        </w:r>
      </w:hyperlink>
      <w:r>
        <w:rPr>
          <w:sz w:val="19.200000000000003"/>
          <w:szCs w:val="19.200000000000003"/>
        </w:rPr>
        <w:t xml:space="preserve"> o energetické náročnosti budov a směrnice </w:t>
      </w:r>
      <w:hyperlink r:id="rId20"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21"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2" w:history="1">
        <w:r>
          <w:rPr>
            <w:color w:val="darkblue"/>
            <w:u w:val="single"/>
          </w:rPr>
          <w:t xml:space="preserve">(ES) č. 663/2009</w:t>
        </w:r>
      </w:hyperlink>
      <w:r>
        <w:rPr>
          <w:sz w:val="19.200000000000003"/>
          <w:szCs w:val="19.200000000000003"/>
        </w:rPr>
        <w:t xml:space="preserve"> a </w:t>
      </w:r>
      <w:hyperlink r:id="rId23" w:history="1">
        <w:r>
          <w:rPr>
            <w:color w:val="darkblue"/>
            <w:u w:val="single"/>
          </w:rPr>
          <w:t xml:space="preserve">(ES) č. 715/2009</w:t>
        </w:r>
      </w:hyperlink>
      <w:r>
        <w:rPr>
          <w:sz w:val="19.200000000000003"/>
          <w:szCs w:val="19.200000000000003"/>
        </w:rPr>
        <w:t xml:space="preserve">, směrnice Evropského parlamentu a Rady </w:t>
      </w:r>
      <w:hyperlink r:id="rId24" w:history="1">
        <w:r>
          <w:rPr>
            <w:color w:val="darkblue"/>
            <w:u w:val="single"/>
          </w:rPr>
          <w:t xml:space="preserve">94/22/ES</w:t>
        </w:r>
      </w:hyperlink>
      <w:r>
        <w:rPr>
          <w:sz w:val="19.200000000000003"/>
          <w:szCs w:val="19.200000000000003"/>
        </w:rPr>
        <w:t xml:space="preserve">, </w:t>
      </w:r>
      <w:hyperlink r:id="rId25" w:history="1">
        <w:r>
          <w:rPr>
            <w:color w:val="darkblue"/>
            <w:u w:val="single"/>
          </w:rPr>
          <w:t xml:space="preserve">98/70/ES</w:t>
        </w:r>
      </w:hyperlink>
      <w:r>
        <w:rPr>
          <w:sz w:val="19.200000000000003"/>
          <w:szCs w:val="19.200000000000003"/>
        </w:rPr>
        <w:t xml:space="preserve">, </w:t>
      </w:r>
      <w:hyperlink r:id="rId26" w:history="1">
        <w:r>
          <w:rPr>
            <w:color w:val="darkblue"/>
            <w:u w:val="single"/>
          </w:rPr>
          <w:t xml:space="preserve">2009/31/ES</w:t>
        </w:r>
      </w:hyperlink>
      <w:r>
        <w:rPr>
          <w:sz w:val="19.200000000000003"/>
          <w:szCs w:val="19.200000000000003"/>
        </w:rPr>
        <w:t xml:space="preserve">, </w:t>
      </w:r>
      <w:hyperlink r:id="rId27" w:history="1">
        <w:r>
          <w:rPr>
            <w:color w:val="darkblue"/>
            <w:u w:val="single"/>
          </w:rPr>
          <w:t xml:space="preserve">2009/73/ES</w:t>
        </w:r>
      </w:hyperlink>
      <w:r>
        <w:rPr>
          <w:sz w:val="19.200000000000003"/>
          <w:szCs w:val="19.200000000000003"/>
        </w:rPr>
        <w:t xml:space="preserve">, </w:t>
      </w:r>
      <w:hyperlink r:id="rId18" w:history="1">
        <w:r>
          <w:rPr>
            <w:color w:val="darkblue"/>
            <w:u w:val="single"/>
          </w:rPr>
          <w:t xml:space="preserve">2010/31/EU</w:t>
        </w:r>
      </w:hyperlink>
      <w:r>
        <w:rPr>
          <w:sz w:val="19.200000000000003"/>
          <w:szCs w:val="19.200000000000003"/>
        </w:rPr>
        <w:t xml:space="preserve">, </w:t>
      </w:r>
      <w:hyperlink r:id="rId20" w:history="1">
        <w:r>
          <w:rPr>
            <w:color w:val="darkblue"/>
            <w:u w:val="single"/>
          </w:rPr>
          <w:t xml:space="preserve">2012/27/EU</w:t>
        </w:r>
      </w:hyperlink>
      <w:r>
        <w:rPr>
          <w:sz w:val="19.200000000000003"/>
          <w:szCs w:val="19.200000000000003"/>
        </w:rPr>
        <w:t xml:space="preserve"> a </w:t>
      </w:r>
      <w:hyperlink r:id="rId28" w:history="1">
        <w:r>
          <w:rPr>
            <w:color w:val="darkblue"/>
            <w:u w:val="single"/>
          </w:rPr>
          <w:t xml:space="preserve">2013/30/EU</w:t>
        </w:r>
      </w:hyperlink>
      <w:r>
        <w:rPr>
          <w:sz w:val="19.200000000000003"/>
          <w:szCs w:val="19.200000000000003"/>
        </w:rPr>
        <w:t xml:space="preserve">, směrnice Rady </w:t>
      </w:r>
      <w:hyperlink r:id="rId29" w:history="1">
        <w:r>
          <w:rPr>
            <w:color w:val="darkblue"/>
            <w:u w:val="single"/>
          </w:rPr>
          <w:t xml:space="preserve">2009/119/ES</w:t>
        </w:r>
      </w:hyperlink>
      <w:r>
        <w:rPr>
          <w:sz w:val="19.200000000000003"/>
          <w:szCs w:val="19.200000000000003"/>
        </w:rPr>
        <w:t xml:space="preserve"> a </w:t>
      </w:r>
      <w:hyperlink r:id="rId30" w:history="1">
        <w:r>
          <w:rPr>
            <w:color w:val="darkblue"/>
            <w:u w:val="single"/>
          </w:rPr>
          <w:t xml:space="preserve">(EU) 2015/652</w:t>
        </w:r>
      </w:hyperlink>
      <w:r>
        <w:rPr>
          <w:sz w:val="19.200000000000003"/>
          <w:szCs w:val="19.200000000000003"/>
        </w:rPr>
        <w:t xml:space="preserve"> a zrušuje nařízení Evropského parlamentu a Rady </w:t>
      </w:r>
      <w:hyperlink r:id="rId31"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20"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6" w:history="1">
        <w:r>
          <w:rPr>
            <w:color w:val="darkblue"/>
            <w:u w:val="single"/>
          </w:rPr>
          <w:t xml:space="preserve">2009/125/ES</w:t>
        </w:r>
      </w:hyperlink>
      <w:r>
        <w:rPr>
          <w:sz w:val="19.200000000000003"/>
          <w:szCs w:val="19.200000000000003"/>
        </w:rPr>
        <w:t xml:space="preserve"> a </w:t>
      </w:r>
      <w:hyperlink r:id="rId17" w:history="1">
        <w:r>
          <w:rPr>
            <w:color w:val="darkblue"/>
            <w:u w:val="single"/>
          </w:rPr>
          <w:t xml:space="preserve">2010/30/EU</w:t>
        </w:r>
      </w:hyperlink>
      <w:r>
        <w:rPr>
          <w:sz w:val="19.200000000000003"/>
          <w:szCs w:val="19.200000000000003"/>
        </w:rPr>
        <w:t xml:space="preserve"> a o zrušení směrnic </w:t>
      </w:r>
      <w:hyperlink r:id="rId32" w:history="1">
        <w:r>
          <w:rPr>
            <w:color w:val="darkblue"/>
            <w:u w:val="single"/>
          </w:rPr>
          <w:t xml:space="preserve">2004/8/ES</w:t>
        </w:r>
      </w:hyperlink>
      <w:r>
        <w:rPr>
          <w:sz w:val="19.200000000000003"/>
          <w:szCs w:val="19.200000000000003"/>
        </w:rPr>
        <w:t xml:space="preserve"> a </w:t>
      </w:r>
      <w:hyperlink r:id="rId33"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35" w:history="1">
        <w:r>
          <w:rPr>
            <w:color w:val="darkblue"/>
            <w:u w:val="single"/>
          </w:rPr>
          <w:t xml:space="preserve">152/2023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6"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7"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8"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3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4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4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3"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4"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5"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8"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4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50"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51" w:history="1">
        <w:r>
          <w:rPr>
            <w:color w:val="darkblue"/>
            <w:u w:val="single"/>
          </w:rPr>
          <w:t xml:space="preserve">284/2021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2"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4"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5"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6"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7"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7"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8"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60"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61"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2"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3" w:history="1">
        <w:r>
          <w:rPr>
            <w:color w:val="darkblue"/>
            <w:u w:val="single"/>
          </w:rPr>
          <w:t xml:space="preserve">266/1994 Sb.</w:t>
        </w:r>
      </w:hyperlink>
      <w:r>
        <w:rPr>
          <w:sz w:val="19.200000000000003"/>
          <w:szCs w:val="19.200000000000003"/>
        </w:rPr>
        <w:t xml:space="preserve">, o dráhách, ve znění pozdějších předpisů, a zákona č. </w:t>
      </w:r>
      <w:hyperlink r:id="rId64"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6"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51" w:history="1">
        <w:r>
          <w:rPr>
            <w:color w:val="darkblue"/>
            <w:u w:val="single"/>
          </w:rPr>
          <w:t xml:space="preserve">284/2021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67"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hyperlink r:id="rId68"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69"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rPr>
        <w:t xml:space="preserve">Čl. III zákona č. </w:t>
      </w:r>
      <w:hyperlink r:id="rId70" w:history="1">
        <w:r>
          <w:rPr>
            <w:color w:val="darkblue"/>
            <w:u w:val="single"/>
          </w:rPr>
          <w:t xml:space="preserve">177/2006 Sb.</w:t>
        </w:r>
      </w:hyperlink>
      <w:r>
        <w:rPr>
          <w:b/>
          <w:bCs/>
        </w:rPr>
        <w:t xml:space="preserve">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w:t>
      </w:r>
      <w:hyperlink r:id="rId71" w:history="1">
        <w:r>
          <w:rPr>
            <w:color w:val="darkblue"/>
            <w:u w:val="single"/>
          </w:rPr>
          <w:t xml:space="preserve">223/2009 Sb.</w:t>
        </w:r>
      </w:hyperlink>
      <w:r>
        <w:rPr>
          <w:b/>
          <w:bCs/>
        </w:rPr>
        <w:t xml:space="preserve">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w:t>
      </w:r>
      <w:hyperlink r:id="rId72" w:history="1">
        <w:r>
          <w:rPr>
            <w:color w:val="darkblue"/>
            <w:u w:val="single"/>
          </w:rPr>
          <w:t xml:space="preserve">299/2011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w:t>
      </w:r>
      <w:hyperlink r:id="rId37" w:history="1">
        <w:r>
          <w:rPr>
            <w:color w:val="darkblue"/>
            <w:u w:val="single"/>
          </w:rPr>
          <w:t xml:space="preserve">165/2012 Sb.</w:t>
        </w:r>
      </w:hyperlink>
      <w:r>
        <w:rPr>
          <w:b/>
          <w:bCs/>
        </w:rPr>
        <w:t xml:space="preserve">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w:t>
      </w:r>
      <w:hyperlink r:id="rId11" w:history="1">
        <w:r>
          <w:rPr>
            <w:color w:val="darkblue"/>
            <w:u w:val="single"/>
          </w:rPr>
          <w:t xml:space="preserve">318/2012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73"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73"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w:t>
      </w:r>
      <w:hyperlink r:id="rId8" w:history="1">
        <w:r>
          <w:rPr>
            <w:color w:val="darkblue"/>
            <w:u w:val="single"/>
          </w:rPr>
          <w:t xml:space="preserve">103/2015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73"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73"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73"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73"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73"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73"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w:t>
      </w:r>
      <w:hyperlink r:id="rId7" w:history="1">
        <w:r>
          <w:rPr>
            <w:color w:val="darkblue"/>
            <w:u w:val="single"/>
          </w:rPr>
          <w:t xml:space="preserve">3/2020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73"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73"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73"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73"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73" w:history="1">
        <w:r>
          <w:rPr>
            <w:color w:val="darkblue"/>
            <w:u w:val="single"/>
          </w:rPr>
          <w:t xml:space="preserve">406/2000 Sb.</w:t>
        </w:r>
      </w:hyperlink>
      <w:r>
        <w:rPr/>
        <w:t xml:space="preserve">, ve znění účinném ode dne nabytí účinnosti tohoto zákona, se provádějí od 1. března 2020.</w:t>
      </w:r>
    </w:p>
    <w:p>
      <w:pPr>
        <w:pStyle w:val="Heading1"/>
      </w:pPr>
      <w:r>
        <w:rPr>
          <w:b/>
          <w:bCs/>
        </w:rPr>
        <w:t xml:space="preserve">ČÁST DVACÁTÁ ČTVRTÁ (ČI. XLIII) a ČÁST PADESÁTÁ DEVÁTÁ (Čl. XCV) zákona č. </w:t>
      </w:r>
      <w:hyperlink r:id="rId51" w:history="1">
        <w:r>
          <w:rPr>
            <w:color w:val="darkblue"/>
            <w:u w:val="single"/>
          </w:rPr>
          <w:t xml:space="preserve">284/2021 Sb.</w:t>
        </w:r>
      </w:hyperlink>
      <w:r>
        <w:rPr>
          <w:b/>
          <w:bCs/>
        </w:rPr>
        <w:t xml:space="preserve">, ve znění zákona č. </w:t>
      </w:r>
      <w:hyperlink r:id="rId74" w:history="1">
        <w:r>
          <w:rPr>
            <w:color w:val="darkblue"/>
            <w:u w:val="single"/>
          </w:rPr>
          <w:t xml:space="preserve">149/2023 Sb.</w:t>
        </w:r>
      </w:hyperlink>
      <w:r>
        <w:rPr>
          <w:b/>
          <w:bCs/>
        </w:rPr>
        <w:t xml:space="preserve">, znějí:</w:t>
      </w:r>
    </w:p>
    <w:p>
      <w:pPr>
        <w:pStyle w:val="Heading2"/>
      </w:pPr>
      <w:r>
        <w:rPr>
          <w:b/>
          <w:bCs/>
        </w:rPr>
        <w:t xml:space="preserve">Čl. XLIII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a jiné postupy zahájené přede dnem nabytí účinnosti tohoto zákona se dokončí a práva a povinnosti s nimi související se posoudí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závazná stanoviska, stanoviska, souhlasy a jiná vyjádření vydaná přede dnem nabytí účinnosti tohoto zákona jako podklad pro vydání rozhodnutí podle zákona č. </w:t>
      </w:r>
      <w:hyperlink r:id="rId75" w:history="1">
        <w:r>
          <w:rPr>
            <w:color w:val="darkblue"/>
            <w:u w:val="single"/>
          </w:rPr>
          <w:t xml:space="preserve">183/2006 Sb.</w:t>
        </w:r>
      </w:hyperlink>
      <w:r>
        <w:rPr/>
        <w:t xml:space="preserve">, ve znění účinném přede dnem nabytí účinnosti tohoto zákona, se považují za rozhodnutí, závazné stanovisko, stanovisko, souhlas nebo vyjádření podle právních předpisů účinných ode dne nabytí účinnosti tohoto zákona.</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ledna 2024,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TŘETÍ (ČI. V) zákona č. </w:t>
      </w:r>
      <w:hyperlink r:id="rId76" w:history="1">
        <w:r>
          <w:rPr>
            <w:color w:val="darkblue"/>
            <w:u w:val="single"/>
          </w:rPr>
          <w:t xml:space="preserve">382/2021 Sb.</w:t>
        </w:r>
      </w:hyperlink>
      <w:r>
        <w:rPr>
          <w:b/>
          <w:bCs/>
        </w:rPr>
        <w:t xml:space="preserve">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byla žádost o vydání závazného stanoviska podána podle </w:t>
      </w:r>
      <w:r>
        <w:rPr/>
        <w:t xml:space="preserve">§ 13</w:t>
      </w:r>
      <w:r>
        <w:rPr/>
        <w:t xml:space="preserve"> odst. 1 věty poslední zákona č. </w:t>
      </w:r>
      <w:hyperlink r:id="rId73" w:history="1">
        <w:r>
          <w:rPr>
            <w:color w:val="darkblue"/>
            <w:u w:val="single"/>
          </w:rPr>
          <w:t xml:space="preserve">406/2000 Sb.</w:t>
        </w:r>
      </w:hyperlink>
      <w:r>
        <w:rPr/>
        <w:t xml:space="preserve">, ve znění účinném přede dnem nabytí účinnosti tohoto zákona, a závazné stanovisko nebylo k tomuto dni vydáno, postupuje Státní energetická inspekce (dále jen „Inspekce“) podle </w:t>
      </w:r>
      <w:r>
        <w:rPr/>
        <w:t xml:space="preserve">§ 13</w:t>
      </w:r>
      <w:r>
        <w:rPr/>
        <w:t xml:space="preserve"> odst. 1 věty poslední zákona č. </w:t>
      </w:r>
      <w:hyperlink r:id="rId73"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Kontroly zahájené územním inspektorátem Inspekce, které nebyly přede dnem nabytí účinnosti tohoto zákona dokončeny, dokončí územní inspektorát Inspekce místně příslušný podle zákona č. </w:t>
      </w:r>
      <w:hyperlink r:id="rId73" w:history="1">
        <w:r>
          <w:rPr>
            <w:color w:val="darkblue"/>
            <w:u w:val="single"/>
          </w:rPr>
          <w:t xml:space="preserve">406/2000 Sb.</w:t>
        </w:r>
      </w:hyperlink>
      <w:r>
        <w:rPr/>
        <w:t xml:space="preserve">, ve znění účinném ode dne nabytí účinnosti tohoto zákona; kontroly zahájené územním inspektorátem pro Jihomoravský kraj a Kraj Vysočina, které nebyly přede dnem nabytí účinnosti tohoto zákona dokončeny, dokončí územní inspektorát pro Jihomoravský a Zlínský kraj.</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přestupku na základě kontroly, která byla dokončena územním inspektorátem Inspekce podle zákona č. </w:t>
      </w:r>
      <w:hyperlink r:id="rId73" w:history="1">
        <w:r>
          <w:rPr>
            <w:color w:val="darkblue"/>
            <w:u w:val="single"/>
          </w:rPr>
          <w:t xml:space="preserve">406/2000 Sb.</w:t>
        </w:r>
      </w:hyperlink>
      <w:r>
        <w:rPr/>
        <w:t xml:space="preserve">, ve znění účinném přede dnem nabytí účinnosti tohoto zákona, a které nebylo do tohoto dne zahájeno, zahájí územní inspektorát Inspekce místně příslušný podle zákona č. </w:t>
      </w:r>
      <w:hyperlink r:id="rId73" w:history="1">
        <w:r>
          <w:rPr>
            <w:color w:val="darkblue"/>
            <w:u w:val="single"/>
          </w:rPr>
          <w:t xml:space="preserve">406/2000 Sb.</w:t>
        </w:r>
      </w:hyperlink>
      <w:r>
        <w:rPr/>
        <w:t xml:space="preserve">, ve znění účinném ode dne nabytí účinnosti tohoto zákona; řízení o přestupku na základě kontroly dokončené územním inspektorátem pro Jihomoravský kraj a Kraj Vysočina zahájí územní inspektorát Inspekce pro Jihomoravský a Zlínský kraj.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přestupku zahájená územním inspektorátem Inspekce podle zákona č. </w:t>
      </w:r>
      <w:hyperlink r:id="rId73" w:history="1">
        <w:r>
          <w:rPr>
            <w:color w:val="darkblue"/>
            <w:u w:val="single"/>
          </w:rPr>
          <w:t xml:space="preserve">406/2000 Sb.</w:t>
        </w:r>
      </w:hyperlink>
      <w:r>
        <w:rPr/>
        <w:t xml:space="preserve">, ve znění účinném přede dnem nabytí účinnosti tohoto zákona, která nebyla přede dnem nabytí účinnosti tohoto zákona pravomocně skončena, dokončí územní inspektorát místně příslušný podle zákona č. </w:t>
      </w:r>
      <w:hyperlink r:id="rId73" w:history="1">
        <w:r>
          <w:rPr>
            <w:color w:val="darkblue"/>
            <w:u w:val="single"/>
          </w:rPr>
          <w:t xml:space="preserve">406/2000 Sb.</w:t>
        </w:r>
      </w:hyperlink>
      <w:r>
        <w:rPr/>
        <w:t xml:space="preserve">, ve znění účinném ode dne nabytí účinnosti tohoto zákona; řízení o přestupku zahájená územním inspektorátem pro Jihomoravský kraj a Kraj Vysočina, která nebyla přede dnem nabytí účinnosti tohoto zákona pravomocně skončena, dokončí územní inspektorát pro Jihomoravský a Zlínský kraj.</w:t>
      </w:r>
    </w:p>
    <w:p>
      <w:pPr>
        <w:pStyle w:val="Heading1"/>
      </w:pPr>
      <w:r>
        <w:rPr>
          <w:b/>
          <w:bCs/>
        </w:rPr>
        <w:t xml:space="preserve">ČÁST OSMÁ (ČI. XII) zákona č. </w:t>
      </w:r>
      <w:hyperlink r:id="rId77" w:history="1">
        <w:r>
          <w:rPr>
            <w:color w:val="darkblue"/>
            <w:u w:val="single"/>
          </w:rPr>
          <w:t xml:space="preserve">465/2023 Sb.</w:t>
        </w:r>
      </w:hyperlink>
      <w:r>
        <w:rPr>
          <w:b/>
          <w:bCs/>
        </w:rPr>
        <w:t xml:space="preserve"> zní:</w:t>
      </w:r>
    </w:p>
    <w:p>
      <w:pPr>
        <w:pStyle w:val="Heading2"/>
      </w:pPr>
      <w:r>
        <w:rPr>
          <w:b/>
          <w:bCs/>
        </w:rPr>
        <w:t xml:space="preserve">Čl. XII</w:t>
      </w:r>
      <w:r>
        <w:rPr>
          <w:rStyle w:val="hidden"/>
        </w:rPr>
        <w:t xml:space="preserve"> -</w:t>
      </w:r>
      <w:br/>
      <w:r>
        <w:rPr/>
        <w:t xml:space="preserve">Přechodné ustanovení</w:t>
      </w:r>
    </w:p>
    <w:p>
      <w:pPr>
        <w:ind w:left="0" w:right="0"/>
      </w:pPr>
      <w:r>
        <w:rPr/>
        <w:t xml:space="preserve">Strategické oblasti celorepublikového významu pro umisťování staveb pro energetickou bezpečnost podle zákona o urychlení výstavby strategicky významné infrastruktury se vymezí v první aktualizaci státní energetické koncepce schvalované po nabytí účinnosti tohoto zákona.</w:t>
      </w:r>
    </w:p>
    <w:sectPr>
      <w:headerReference w:type="default" r:id="rId78"/>
      <w:footerReference w:type="default" r:id="rId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469/2023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003" TargetMode="External"/><Relationship Id="rId8" Type="http://schemas.openxmlformats.org/officeDocument/2006/relationships/hyperlink" Target="https://esipa.cz/sbirka/sbsrv.dll/sb?DR=SB&amp;CP=2015s103" TargetMode="External"/><Relationship Id="rId9" Type="http://schemas.openxmlformats.org/officeDocument/2006/relationships/hyperlink" Target="https://esipa.cz/sbirka/sbsrv.dll/sb?DR=SB&amp;CP=32013D0107" TargetMode="External"/><Relationship Id="rId10" Type="http://schemas.openxmlformats.org/officeDocument/2006/relationships/hyperlink" Target="https://esipa.cz/sbirka/sbsrv.dll/sb?DR=SB&amp;CP=2021s261" TargetMode="External"/><Relationship Id="rId11" Type="http://schemas.openxmlformats.org/officeDocument/2006/relationships/hyperlink" Target="https://esipa.cz/sbirka/sbsrv.dll/sb?DR=SB&amp;CP=2012s318" TargetMode="External"/><Relationship Id="rId12" Type="http://schemas.openxmlformats.org/officeDocument/2006/relationships/hyperlink" Target="https://esipa.cz/sbirka/sbsrv.dll/sb?DR=SB&amp;CP=2023s087" TargetMode="External"/><Relationship Id="rId13" Type="http://schemas.openxmlformats.org/officeDocument/2006/relationships/hyperlink" Target="http://eur-lex.europa.eu/LexUriServ/LexUriServ.do?uri=OJ:L:2009:140:0016:01" TargetMode="External"/><Relationship Id="rId14" Type="http://schemas.openxmlformats.org/officeDocument/2006/relationships/hyperlink" Target="https://esipa.cz/sbirka/sbsrv.dll/sb?DR=SB&amp;CP=32001L0077" TargetMode="External"/><Relationship Id="rId15" Type="http://schemas.openxmlformats.org/officeDocument/2006/relationships/hyperlink" Target="https://esipa.cz/sbirka/sbsrv.dll/sb?DR=SB&amp;CP=32003L0030" TargetMode="External"/><Relationship Id="rId16" Type="http://schemas.openxmlformats.org/officeDocument/2006/relationships/hyperlink" Target="https://esipa.cz/sbirka/sbsrv.dll/sb?DR=SB&amp;CP=32009L0125" TargetMode="External"/><Relationship Id="rId17" Type="http://schemas.openxmlformats.org/officeDocument/2006/relationships/hyperlink" Target="https://esipa.cz/sbirka/sbsrv.dll/sb?DR=SB&amp;CP=32010L0030" TargetMode="External"/><Relationship Id="rId18" Type="http://schemas.openxmlformats.org/officeDocument/2006/relationships/hyperlink" Target="https://esipa.cz/sbirka/sbsrv.dll/sb?DR=SB&amp;CP=32010L0031" TargetMode="External"/><Relationship Id="rId19" Type="http://schemas.openxmlformats.org/officeDocument/2006/relationships/hyperlink" Target="https://esipa.cz/sbirka/sbsrv.dll/sb?DR=SB&amp;CP=32018L0844" TargetMode="External"/><Relationship Id="rId20" Type="http://schemas.openxmlformats.org/officeDocument/2006/relationships/hyperlink" Target="https://esipa.cz/sbirka/sbsrv.dll/sb?DR=SB&amp;CP=32012L0027" TargetMode="External"/><Relationship Id="rId21" Type="http://schemas.openxmlformats.org/officeDocument/2006/relationships/hyperlink" Target="https://esipa.cz/sbirka/sbsrv.dll/sb?DR=SB&amp;CP=32018R1999" TargetMode="External"/><Relationship Id="rId22" Type="http://schemas.openxmlformats.org/officeDocument/2006/relationships/hyperlink" Target="https://esipa.cz/sbirka/sbsrv.dll/sb?DR=SB&amp;CP=32009R0663" TargetMode="External"/><Relationship Id="rId23" Type="http://schemas.openxmlformats.org/officeDocument/2006/relationships/hyperlink" Target="https://esipa.cz/sbirka/sbsrv.dll/sb?DR=SB&amp;CP=32009R0715" TargetMode="External"/><Relationship Id="rId24" Type="http://schemas.openxmlformats.org/officeDocument/2006/relationships/hyperlink" Target="https://esipa.cz/sbirka/sbsrv.dll/sb?DR=SB&amp;CP=31994L0022" TargetMode="External"/><Relationship Id="rId25" Type="http://schemas.openxmlformats.org/officeDocument/2006/relationships/hyperlink" Target="https://esipa.cz/sbirka/sbsrv.dll/sb?DR=SB&amp;CP=31998L0070" TargetMode="External"/><Relationship Id="rId26" Type="http://schemas.openxmlformats.org/officeDocument/2006/relationships/hyperlink" Target="https://esipa.cz/sbirka/sbsrv.dll/sb?DR=SB&amp;CP=32009D0031" TargetMode="External"/><Relationship Id="rId27" Type="http://schemas.openxmlformats.org/officeDocument/2006/relationships/hyperlink" Target="https://esipa.cz/sbirka/sbsrv.dll/sb?DR=SB&amp;CP=32009D0073" TargetMode="External"/><Relationship Id="rId28" Type="http://schemas.openxmlformats.org/officeDocument/2006/relationships/hyperlink" Target="https://esipa.cz/sbirka/sbsrv.dll/sb?DR=SB&amp;CP=32013L0030" TargetMode="External"/><Relationship Id="rId29" Type="http://schemas.openxmlformats.org/officeDocument/2006/relationships/hyperlink" Target="https://esipa.cz/sbirka/sbsrv.dll/sb?DR=SB&amp;CP=32009L0119" TargetMode="External"/><Relationship Id="rId30" Type="http://schemas.openxmlformats.org/officeDocument/2006/relationships/hyperlink" Target="https://esipa.cz/sbirka/sbsrv.dll/sb?DR=SB&amp;CP=32015L0652" TargetMode="External"/><Relationship Id="rId31" Type="http://schemas.openxmlformats.org/officeDocument/2006/relationships/hyperlink" Target="https://esipa.cz/sbirka/sbsrv.dll/sb?DR=SB&amp;CP=32013R0525" TargetMode="External"/><Relationship Id="rId32" Type="http://schemas.openxmlformats.org/officeDocument/2006/relationships/hyperlink" Target="https://esipa.cz/sbirka/sbsrv.dll/sb?DR=SB&amp;CP=32004L0008" TargetMode="External"/><Relationship Id="rId33" Type="http://schemas.openxmlformats.org/officeDocument/2006/relationships/hyperlink" Target="https://esipa.cz/sbirka/sbsrv.dll/sb?DR=SB&amp;CP=32006L0032"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SB&amp;CP=2023s152" TargetMode="External"/><Relationship Id="rId36" Type="http://schemas.openxmlformats.org/officeDocument/2006/relationships/hyperlink" Target="https://esipa.cz/sbirka/sbsrv.dll/sb?DR=SB&amp;CP=2007s393" TargetMode="External"/><Relationship Id="rId37" Type="http://schemas.openxmlformats.org/officeDocument/2006/relationships/hyperlink" Target="https://esipa.cz/sbirka/sbsrv.dll/sb?DR=SB&amp;CP=2012s165" TargetMode="External"/><Relationship Id="rId38" Type="http://schemas.openxmlformats.org/officeDocument/2006/relationships/hyperlink" Target="https://esipa.cz/sbirka/sbsrv.dll/sb?DR=SB&amp;CP=2012s089" TargetMode="External"/><Relationship Id="rId39" Type="http://schemas.openxmlformats.org/officeDocument/2006/relationships/hyperlink" Target="https://esipa.cz/sbirka/sbsrv.dll/sb?DR=SB&amp;CP=2004s018" TargetMode="External"/><Relationship Id="rId40" Type="http://schemas.openxmlformats.org/officeDocument/2006/relationships/hyperlink" Target="https://esipa.cz/sbirka/sbsrv.dll/sb?DR=SB&amp;CP=2001s291" TargetMode="External"/><Relationship Id="rId41" Type="http://schemas.openxmlformats.org/officeDocument/2006/relationships/hyperlink" Target="https://esipa.cz/sbirka/sbsrv.dll/sb?DR=SB&amp;CP=2004s442" TargetMode="External"/><Relationship Id="rId42" Type="http://schemas.openxmlformats.org/officeDocument/2006/relationships/hyperlink" Target="https://esipa.cz/sbirka/sbsrv.dll/sb?DR=SB&amp;CP=1997s022" TargetMode="External"/><Relationship Id="rId43" Type="http://schemas.openxmlformats.org/officeDocument/2006/relationships/hyperlink" Target="https://esipa.cz/sbirka/sbsrv.dll/sb?DR=SB&amp;CP=2000s291" TargetMode="External"/><Relationship Id="rId44" Type="http://schemas.openxmlformats.org/officeDocument/2006/relationships/hyperlink" Target="https://esipa.cz/sbirka/sbsrv.dll/sb?DR=SB&amp;CP=32000R1980" TargetMode="External"/><Relationship Id="rId45" Type="http://schemas.openxmlformats.org/officeDocument/2006/relationships/hyperlink" Target="https://esipa.cz/sbirka/sbsrv.dll/sb?DR=SB&amp;CP=2001s213" TargetMode="External"/><Relationship Id="rId46" Type="http://schemas.openxmlformats.org/officeDocument/2006/relationships/hyperlink" Target="https://esipa.cz/sbirka/sbsrv.dll/sb?DR=SB&amp;CP=1994s269" TargetMode="External"/><Relationship Id="rId47" Type="http://schemas.openxmlformats.org/officeDocument/2006/relationships/hyperlink" Target="https://esipa.cz/sbirka/sbsrv.dll/sb?DR=SB&amp;CP=2015s131" TargetMode="External"/><Relationship Id="rId48" Type="http://schemas.openxmlformats.org/officeDocument/2006/relationships/hyperlink" Target="https://esipa.cz/sbirka/sbsrv.dll/sb?DR=SB&amp;CP=2017s183" TargetMode="External"/><Relationship Id="rId49" Type="http://schemas.openxmlformats.org/officeDocument/2006/relationships/hyperlink" Target="https://esipa.cz/sbirka/sbsrv.dll/sb?DR=SB&amp;CP=1987s020" TargetMode="External"/><Relationship Id="rId50" Type="http://schemas.openxmlformats.org/officeDocument/2006/relationships/hyperlink" Target="https://esipa.cz/sbirka/sbsrv.dll/sb?DR=SB&amp;CP=2006s501" TargetMode="External"/><Relationship Id="rId51" Type="http://schemas.openxmlformats.org/officeDocument/2006/relationships/hyperlink" Target="https://esipa.cz/sbirka/sbsrv.dll/sb?DR=SB&amp;CP=2021s284" TargetMode="External"/><Relationship Id="rId52" Type="http://schemas.openxmlformats.org/officeDocument/2006/relationships/hyperlink" Target="https://esipa.cz/sbirka/sbsrv.dll/sb?DR=SB&amp;CP=2009s268" TargetMode="External"/><Relationship Id="rId53" Type="http://schemas.openxmlformats.org/officeDocument/2006/relationships/hyperlink" Target="https://esipa.cz/sbirka/sbsrv.dll/sb?DR=SB&amp;CP=1991s455" TargetMode="External"/><Relationship Id="rId54" Type="http://schemas.openxmlformats.org/officeDocument/2006/relationships/hyperlink" Target="https://esipa.cz/sbirka/sbsrv.dll/sb?DR=SB&amp;CP=1999s222" TargetMode="External"/><Relationship Id="rId55" Type="http://schemas.openxmlformats.org/officeDocument/2006/relationships/hyperlink" Target="https://esipa.cz/sbirka/sbsrv.dll/sb?DR=SB&amp;CP=32003H0361" TargetMode="External"/><Relationship Id="rId56" Type="http://schemas.openxmlformats.org/officeDocument/2006/relationships/hyperlink" Target="https://esipa.cz/sbirka/sbsrv.dll/sb?DR=SB&amp;CP=2016s275" TargetMode="External"/><Relationship Id="rId57" Type="http://schemas.openxmlformats.org/officeDocument/2006/relationships/hyperlink" Target="https://esipa.cz/sbirka/sbsrv.dll/sb?DR=SB&amp;CP=32017R1369" TargetMode="External"/><Relationship Id="rId58" Type="http://schemas.openxmlformats.org/officeDocument/2006/relationships/hyperlink" Target="https://esipa.cz/sbirka/sbsrv.dll/sb?DR=SB&amp;CP=32008R1275" TargetMode="External"/><Relationship Id="rId59" Type="http://schemas.openxmlformats.org/officeDocument/2006/relationships/hyperlink" Target="https://esipa.cz/sbirka/sbsrv.dll/sb?DR=SB&amp;CP=32005L0032" TargetMode="External"/><Relationship Id="rId60" Type="http://schemas.openxmlformats.org/officeDocument/2006/relationships/hyperlink" Target="https://esipa.cz/sbirka/sbsrv.dll/sb?DR=SB&amp;CP=32009R0107" TargetMode="External"/><Relationship Id="rId61" Type="http://schemas.openxmlformats.org/officeDocument/2006/relationships/hyperlink" Target="https://esipa.cz/sbirka/sbsrv.dll/sb?DR=SB&amp;CP=32009R0244" TargetMode="External"/><Relationship Id="rId62" Type="http://schemas.openxmlformats.org/officeDocument/2006/relationships/hyperlink" Target="https://esipa.cz/sbirka/sbsrv.dll/sb?DR=SB&amp;CP=2002s077" TargetMode="External"/><Relationship Id="rId63" Type="http://schemas.openxmlformats.org/officeDocument/2006/relationships/hyperlink" Target="https://esipa.cz/sbirka/sbsrv.dll/sb?DR=SB&amp;CP=1994s266" TargetMode="External"/><Relationship Id="rId64" Type="http://schemas.openxmlformats.org/officeDocument/2006/relationships/hyperlink" Target="https://esipa.cz/sbirka/sbsrv.dll/sb?DR=SB&amp;CP=1997s077" TargetMode="External"/><Relationship Id="rId65" Type="http://schemas.openxmlformats.org/officeDocument/2006/relationships/hyperlink" Target="https://esipa.cz/sbirka/sbsrv.dll/note_25" TargetMode="External"/><Relationship Id="rId66" Type="http://schemas.openxmlformats.org/officeDocument/2006/relationships/hyperlink" Target="https://esipa.cz/sbirka/sbsrv.dll/sb?DR=SB&amp;CP=2012s201" TargetMode="External"/><Relationship Id="rId67" Type="http://schemas.openxmlformats.org/officeDocument/2006/relationships/hyperlink" Target="https://esipa.cz/sbirka/sbsrv.dll/sb?DR=SB&amp;CP=2007s194" TargetMode="External"/><Relationship Id="rId68" Type="http://schemas.openxmlformats.org/officeDocument/2006/relationships/hyperlink" Target="https://esipa.cz/sbirka/sbsrv.dll/note_29" TargetMode="External"/><Relationship Id="rId69" Type="http://schemas.openxmlformats.org/officeDocument/2006/relationships/hyperlink" Target="https://esipa.cz/sbirka/sbsrv.dll/sb?DR=SB&amp;CP=2020s264" TargetMode="External"/><Relationship Id="rId70" Type="http://schemas.openxmlformats.org/officeDocument/2006/relationships/hyperlink" Target="https://esipa.cz/sbirka/sbsrv.dll/sb?DR=SB&amp;CP=2006s177" TargetMode="External"/><Relationship Id="rId71" Type="http://schemas.openxmlformats.org/officeDocument/2006/relationships/hyperlink" Target="https://esipa.cz/sbirka/sbsrv.dll/sb?DR=SB&amp;CP=2009s223" TargetMode="External"/><Relationship Id="rId72" Type="http://schemas.openxmlformats.org/officeDocument/2006/relationships/hyperlink" Target="https://esipa.cz/sbirka/sbsrv.dll/sb?DR=SB&amp;CP=2011s299" TargetMode="External"/><Relationship Id="rId73" Type="http://schemas.openxmlformats.org/officeDocument/2006/relationships/hyperlink" Target="https://esipa.cz/sbirka/sbsrv.dll/sb?DR=SB&amp;CP=2000s406" TargetMode="External"/><Relationship Id="rId74" Type="http://schemas.openxmlformats.org/officeDocument/2006/relationships/hyperlink" Target="https://esipa.cz/sbirka/sbsrv.dll/sb?DR=SB&amp;CP=2023s149" TargetMode="External"/><Relationship Id="rId75" Type="http://schemas.openxmlformats.org/officeDocument/2006/relationships/hyperlink" Target="https://esipa.cz/sbirka/sbsrv.dll/sb?DR=SB&amp;CP=2006s183" TargetMode="External"/><Relationship Id="rId76" Type="http://schemas.openxmlformats.org/officeDocument/2006/relationships/hyperlink" Target="https://esipa.cz/sbirka/sbsrv.dll/sb?DR=SB&amp;CP=2021s382" TargetMode="External"/><Relationship Id="rId77" Type="http://schemas.openxmlformats.org/officeDocument/2006/relationships/hyperlink" Target="https://esipa.cz/sbirka/sbsrv.dll/sb?DR=SB&amp;CP=2023s465" TargetMode="External"/><Relationship Id="rId78" Type="http://schemas.openxmlformats.org/officeDocument/2006/relationships/header" Target="header1.xml"/><Relationship Id="rId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469/2023 Sb. z 1. 1. 2024</dc:title>
  <dc:description>Zákon o hospodaření energií</dc:description>
  <dc:subject/>
  <cp:keywords/>
  <cp:category/>
  <cp:lastModifiedBy/>
  <dcterms:created xsi:type="dcterms:W3CDTF">2024-01-01T00:00:00+01:00</dcterms:created>
  <dcterms:modified xsi:type="dcterms:W3CDTF">2024-07-19T11:00:10+02:00</dcterms:modified>
</cp:coreProperties>
</file>

<file path=docProps/custom.xml><?xml version="1.0" encoding="utf-8"?>
<Properties xmlns="http://schemas.openxmlformats.org/officeDocument/2006/custom-properties" xmlns:vt="http://schemas.openxmlformats.org/officeDocument/2006/docPropsVTypes"/>
</file>