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Evropských společenství</w:t>
      </w:r>
      <w:r>
        <w:rPr>
          <w:vertAlign w:val="superscript"/>
        </w:rPr>
        <w:t xml:space="preserve">1</w:t>
      </w:r>
      <w:r>
        <w:rPr/>
        <w:t xml:space="preserve">) (dále jen „Společenství“)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energetických spotřebičů.</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u existujících staveb množství energie skutečně spotřebované, u projektů nových staveb nebo projektů změn staveb, na něž je vydáno stavební povolení, vypočtené množství energie pro splnění požadavků na standardizované užívání budovy, zejména na vytápění, přípravu teplé vody, chlazení, úpravu vzduchu větráním a úpravu parametrů vnitřního prostředí klimatizačním systémem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soubor všech zařízení a prvků na úpravu parametrů vnitřního prostředí spojené s ohřevem, chlazením, zvlhčováním a filtrací vzduchu, které jsou součástí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 který se člení na ústřední vytápění, bytové individuální vytápění a lokální vytápění,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vytápění, kde zdroj tepla je umístěn mimo vytápěné prostory a slouží pro vytápění více 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kotle množství tepelné energie udané výrobcem, které kotel předává trvale v teplonosné látce při stanovených podmínkách v ustáleném stavu,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budovy průkaz, který obsahuje informace o energetické náročnosti budovy vypočtené podle metody stanovené prováděcím právním předpisem,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budovou zastřešená stavba se stěnami, v níž se používá energie k úpravě vnitřního prostředí; za budovu se může považovat budova jako celek nebo ty její části, které byly navrženy nebo upraveny pro samostatné užívání,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celkovou podlahovou plochou podlahová plocha všech podlaží budovy vymezená mezi vnějšími stěnami, bez neobyvatelných sklepů a oddělených nevytápěných prostor,</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větší změnou dokončené budovy taková změna dokončené budovy, která probíhá více než 25 % celkové plochy obvodového pláště budovy, nebo taková změna technických zařízení budovy s energetickými účinky, kde výchozí součet ovlivněných spotřeb energií je vyšší než 25 % celkové spotřeby energie,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energetickým spotřebičem výrobek, který je po uvedení na trh nebo do provozu závislý na energetickém vstupu (elektrická energie, fosilní paliva nebo obnovitelné zdroje energie), aby mohl fungovat v souladu se svým účelem, nebo výrobek určený k výrobě, přenosu nebo měření takové energie, včetně částí závislých na energetickém vstupu, které jsou určeny k zabudování do energetického spotřebiče, a které jsou uváděny na trh anebo do provozu jako jednotlivé části pro konečné uživatele, přičemž u nich lze posoudit vliv na životní prostředí samostatně,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konstrukčními částmi a podsestavami části určené k zabudování do energetického spotřebiče,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ekodesignem zohlednění dopadů výrobků na životní prostředí do konstrukce výrobku s cílem snížit negativní dopady výrobku na životní prostředí během jeho celého životního cyklu,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uvedením na trh první zpřístupnění energetického spotřebiče na trhu Společenství za účelem jeho distribuce nebo používání ve Společenství za úplatu nebo bezúplatně a bez ohledu na způsob prodeje,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zplnomocněným zástupcem fyzická nebo právnická osoba usazená ve Společenství, která byla výrobcem písemně pověřena k tomu, aby jeho jménem plnila zcela nebo zčásti povinnosti vyplývající z tohoto zákona, zejména § 8a,</w:t>
      </w:r>
    </w:p>
    <w:p>
      <w:pPr>
        <w:ind w:left="560" w:right="0" w:hanging="560"/>
        <w:tabs>
          <w:tab w:val="right" w:leader="none" w:pos="500"/>
          <w:tab w:val="left" w:leader="none" w:pos="560"/>
        </w:tabs>
      </w:pPr>
      <w:r>
        <w:rPr/>
        <w:t xml:space="preserve">	</w:t>
      </w:r>
      <w:r>
        <w:rPr>
          <w:b/>
          <w:bCs/>
        </w:rPr>
        <w:t xml:space="preserve">w)</w:t>
      </w:r>
      <w:r>
        <w:rPr/>
        <w:t xml:space="preserve">	</w:t>
      </w:r>
      <w:r>
        <w:rPr/>
        <w:t xml:space="preserve">dovozcem fyzická nebo právnická osoba usazená ve Společenství, která v rámci své obchodní činnosti uvádí na trh Společenství výrobek ze třetí země.</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pro svůj územní obvod krajský úřad, Magistrát hlavního města Prahy a magistráty statutárních měst (dále jen „pořizovatel“) v přenesené působnosti. Územní energetická koncepce je součástí územně plánovací dokumentace s výjimkou technických řešení navrhujících umístění staveb a zařízení.</w:t>
      </w:r>
    </w:p>
    <w:p>
      <w:pPr>
        <w:ind w:left="0" w:right="0"/>
      </w:pPr>
      <w:r>
        <w:rPr>
          <w:b/>
          <w:bCs/>
        </w:rPr>
        <w:t xml:space="preserve">(3)</w:t>
      </w:r>
      <w:r>
        <w:rPr/>
        <w:t xml:space="preserve"> Obec má právo pro svůj územní obvod nebo jeho část pořídit v přenesené působnosti územní energetickou koncepci v souladu se státní energetickou koncepcí. Územní energetická koncepce je neopomenutelným podkladem pro územní plánování.</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STÁTNÍ PROGRAM NA PODPORU ÚSPOR ENERGIE A VYUŽITÍ OBNOVITELNÝCH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zdrojů energie (dále jen „Program“) je nástroj na podporu opatření ke zvyšování účinnosti užití energie, snižování energetické náročnosti a využití jejích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 a dále druhotných energetických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středním a velmi malým podnikům vyrábějícím energetické spotřebiče k zavádění nových postupů vedoucích ke splnění požadavků na ekodesign.</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Výrobce elektřiny nebo tepelné energie</w:t>
      </w:r>
      <w:r>
        <w:rPr>
          <w:vertAlign w:val="superscript"/>
        </w:rPr>
        <w:t xml:space="preserve">2</w:t>
      </w:r>
      <w:r>
        <w:rPr/>
        <w:t xml:space="preserve">) je povinen u nově zřizovaných zařízení pro výrobu elektřiny nebo tepelné energie zajistit alespoň minimální účinnost užití energie stanovenou prováděcím právním předpisem.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U provozovaných kotlů spalujících kapalná, plynná nebo pevná paliva se jmenovitým výkonem do 200 kW je jejich vlastník nebo provozovatel povinen zajistit pravidelnou kontrolu účinnosti. Četnost, rozsah a způsob provedení kontroly stanoví prováděcí právní předpis.</w:t>
      </w:r>
    </w:p>
    <w:p>
      <w:pPr>
        <w:ind w:left="0" w:right="0"/>
      </w:pPr>
      <w:r>
        <w:rPr>
          <w:b/>
          <w:bCs/>
        </w:rPr>
        <w:t xml:space="preserve">(3)</w:t>
      </w:r>
      <w:r>
        <w:rPr/>
        <w:t xml:space="preserve"> U zařízení sloužícího pro ústřední vytápění se jmenovitým výkonem nad 20 kW a staršího 15 let od data uvedení do provozu je vlastník nebo provozovatel povinen zajistit jednorázovou kontrolu kotlů a vnitřních rozvodů tepelné energie do 3 let po nabytí účinnosti tohoto zákona. Součástí této kontroly je posouzení účinnosti kotle a jeho dimenzování v poměru k požadavkům výlučně na vytápění budovy podle prováděcího právního předpisu.</w:t>
      </w:r>
    </w:p>
    <w:p>
      <w:pPr>
        <w:ind w:left="0" w:right="0"/>
      </w:pPr>
      <w:r>
        <w:rPr>
          <w:b/>
          <w:bCs/>
        </w:rPr>
        <w:t xml:space="preserve">(4)</w:t>
      </w:r>
      <w:r>
        <w:rPr/>
        <w:t xml:space="preserve"> U provozovaných kotlů spalujících kapalná, plynná nebo pevná paliva se jmenovitým výkonem nad 200 kW je jejich vlastník, stavebník nebo provozovatel povinen zajistit pravidelnou kontrolu jejich účinnosti podle prováděcího právního předpisu</w:t>
      </w:r>
      <w:r>
        <w:rPr>
          <w:vertAlign w:val="superscript"/>
        </w:rPr>
        <w:t xml:space="preserve">4b</w:t>
      </w:r>
      <w:r>
        <w:rPr/>
        <w:t xml:space="preserve">).</w:t>
      </w:r>
    </w:p>
    <w:p>
      <w:pPr>
        <w:ind w:left="0" w:right="0"/>
      </w:pPr>
      <w:r>
        <w:rPr>
          <w:b/>
          <w:bCs/>
        </w:rPr>
        <w:t xml:space="preserve">(5)</w:t>
      </w:r>
      <w:r>
        <w:rPr/>
        <w:t xml:space="preserve"> Kontrolu kotlů a vnitřních rozvodů tepelné energie podle odstavců 2 a 3 a kontrolu kotlů o výkonu nad 200 kW sloužících pro vytápění, umístěných ve vytápěném objektu, mohou provádět pouze osoby podle § 10 nebo osoby autorizované podle zvláštního právního předpisu</w:t>
      </w:r>
      <w:r>
        <w:rPr>
          <w:vertAlign w:val="superscript"/>
        </w:rPr>
        <w:t xml:space="preserve">4d</w:t>
      </w:r>
      <w:r>
        <w:rPr/>
        <w:t xml:space="preserve">) přezkoušené ministerstvem. Rozsah přezkoušení těchto osob stanoví prováděcí právní předpis.</w:t>
      </w:r>
    </w:p>
    <w:p>
      <w:pPr>
        <w:ind w:left="0" w:right="0"/>
      </w:pPr>
      <w:r>
        <w:rPr>
          <w:b/>
          <w:bCs/>
        </w:rPr>
        <w:t xml:space="preserve">(6)</w:t>
      </w:r>
      <w:r>
        <w:rPr/>
        <w:t xml:space="preserve"> Povinnosti podle odstavců 2 až 4 se nevztahují na vlastníky nebo provozovatele kotlů a vnitřních rozvodů tepelné energie umístěných v rodinných domech, bytech a stavbách pro individuální rekreaci s výjimkou případů, kdy jsou provozovány výhradně pro podnikatelskou činnost. Vlastníkům kotlů umístěných v rodinných domech, bytech a stavbách pro individuální rekreaci se pro kontrolu kotlů, jejich dimenzování a zařízení sloužících pro vytápění poskytuje poradenství podle § 5 odst. 4 písm. g).</w:t>
      </w:r>
    </w:p>
    <w:p>
      <w:pPr>
        <w:ind w:left="0" w:right="0"/>
      </w:pPr>
      <w:r>
        <w:rPr>
          <w:b/>
          <w:bCs/>
        </w:rPr>
        <w:t xml:space="preserve">(7)</w:t>
      </w:r>
      <w:r>
        <w:rPr/>
        <w:t xml:space="preserve"> U klimatizačních systémů je vlastník nebo provozovatel zařízení se jmenovitým chladicím výkonem vyšším než 12 kW povinen zajistit pravidelnou kontrolu každé 4 roky. Způsob provedení kontroly a vyhodnocení výsledků stanoví prováděcí právní předpis.</w:t>
      </w:r>
    </w:p>
    <w:p>
      <w:pPr>
        <w:ind w:left="0" w:right="0"/>
      </w:pPr>
      <w:r>
        <w:rPr>
          <w:b/>
          <w:bCs/>
        </w:rPr>
        <w:t xml:space="preserve">(8)</w:t>
      </w:r>
      <w:r>
        <w:rPr/>
        <w:t xml:space="preserve"> Kontrolu klimatizačních systémů mohou provádět pouze osoby podle § 10 nebo osoby autorizované podle zvláštního právního předpisu</w:t>
      </w:r>
      <w:r>
        <w:rPr>
          <w:vertAlign w:val="superscript"/>
        </w:rPr>
        <w:t xml:space="preserve">4d</w:t>
      </w:r>
      <w:r>
        <w:rPr/>
        <w:t xml:space="preserve">) přezkoušené ministerstvem z problematiky užití účinnosti energie a návrhů opatření. Rozsah přezkoušení stanoví prováděcí právní předpis.</w:t>
      </w:r>
    </w:p>
    <w:p>
      <w:pPr>
        <w:ind w:left="0" w:right="0"/>
      </w:pPr>
      <w:r>
        <w:rPr>
          <w:b/>
          <w:bCs/>
        </w:rPr>
        <w:t xml:space="preserve">(9)</w:t>
      </w:r>
      <w:r>
        <w:rPr/>
        <w:t xml:space="preserve"> Vlastník nebo provozovatel zařízení na distribuci tepelné energie</w:t>
      </w:r>
      <w:r>
        <w:rPr>
          <w:vertAlign w:val="superscript"/>
        </w:rPr>
        <w:t xml:space="preserve">2</w:t>
      </w:r>
      <w:r>
        <w:rPr/>
        <w:t xml:space="preserve">) a vlastník vnitřního rozvodu tepelné energie a chladu je povinen u nově zřizovaných zařízení na distribuci tepelné energie a vnitřní distribuci tepelné energie zajistit účinnost užití energie a vybavení rozvodů a vnitřních rozvodů tepelné energie a chladu v rozsahu stanoveném prováděcím právním předpisem.</w:t>
      </w:r>
    </w:p>
    <w:p>
      <w:pPr>
        <w:ind w:left="0" w:right="0"/>
      </w:pPr>
      <w:r>
        <w:rPr>
          <w:b/>
          <w:bCs/>
        </w:rPr>
        <w:t xml:space="preserve">(10)</w:t>
      </w:r>
      <w:r>
        <w:rPr/>
        <w:t xml:space="preserve"> Výrobce, dovozce nebo prodejce může uvádět na trh pouze spotřebiče energie s minimální účinností užití energie stanovenou prováděcím právním předpisem. Tato podmínka se považuje za splněnou, pokud daný spotřebič vyhovuje příslušné harmonizované české technické normě, která stanovuje energetickou účinnost.</w:t>
      </w:r>
    </w:p>
    <w:p>
      <w:pPr>
        <w:pStyle w:val="Heading3"/>
      </w:pPr>
      <w:r>
        <w:rPr>
          <w:b/>
          <w:bCs/>
        </w:rPr>
        <w:t xml:space="preserve">§ 6a</w:t>
      </w:r>
      <w:r>
        <w:rPr>
          <w:rStyle w:val="hidden"/>
        </w:rPr>
        <w:t xml:space="preserve"> -</w:t>
      </w:r>
      <w:br/>
      <w:r>
        <w:rPr/>
        <w:t xml:space="preserve">Energetická náročnost budov</w:t>
      </w:r>
    </w:p>
    <w:p>
      <w:pPr>
        <w:ind w:left="0" w:right="0"/>
      </w:pPr>
      <w:r>
        <w:rPr>
          <w:b/>
          <w:bCs/>
        </w:rPr>
        <w:t xml:space="preserve">(1)</w:t>
      </w:r>
      <w:r>
        <w:rPr/>
        <w:t xml:space="preserve"> Stavebník, vlastník budovy nebo společenství vlastníků jednotek</w:t>
      </w:r>
      <w:r>
        <w:rPr>
          <w:vertAlign w:val="superscript"/>
        </w:rPr>
        <w:t xml:space="preserve">5</w:t>
      </w:r>
      <w:r>
        <w:rPr/>
        <w:t xml:space="preserve">) musí zajistit splnění požadavků na energetickou náročnost budovy a splnění porovnávacích ukazatelů, které stanoví prováděcí právní předpis</w:t>
      </w:r>
      <w:r>
        <w:rPr>
          <w:vertAlign w:val="superscript"/>
        </w:rPr>
        <w:t xml:space="preserve">6a</w:t>
      </w:r>
      <w:r>
        <w:rPr/>
        <w:t xml:space="preserve">), a dále splnění požadavků stanovených příslušnými harmonizovanými českými technickými normami. Prováděcí právní předpis stanoví požadavky na energetickou náročnost budov, porovnávací ukazatele, metodu výpočtu energetické náročnosti budovy a podrobnosti vztahující se ke splnění těchto požadavků. Při změnách dokončených budov jsou požadavky plněny pro celou budovu nebo pro změny systémů a prvků budovy.</w:t>
      </w:r>
    </w:p>
    <w:p>
      <w:pPr>
        <w:ind w:left="0" w:right="0"/>
      </w:pPr>
      <w:r>
        <w:rPr>
          <w:b/>
          <w:bCs/>
        </w:rPr>
        <w:t xml:space="preserve">(2)</w:t>
      </w:r>
      <w:r>
        <w:rPr/>
        <w:t xml:space="preserve"> Splnění požadavků podle odstavce 1 dokládá stavebník, vlastník budovy nebo společenství vlastníků jednotek průkazem energetické náročnosti budovy (dále jen „průkaz“), který musí být přiložen při prokazování dodržení obecných technických požadavků na výstavbu</w:t>
      </w:r>
      <w:r>
        <w:rPr>
          <w:vertAlign w:val="superscript"/>
        </w:rPr>
        <w:t xml:space="preserve">5a</w:t>
      </w:r>
      <w:r>
        <w:rPr/>
        <w:t xml:space="preserve">). Průkaz nesmí být starší 10 let a je součástí dokumentace podle prováděcího právního předpisu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výstavbě nových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větších změnách dokončených budov s celkovou podlahovou plochou nad 1000 m</w:t>
      </w:r>
      <w:r>
        <w:rPr>
          <w:vertAlign w:val="superscript"/>
        </w:rPr>
        <w:t xml:space="preserve">2</w:t>
      </w:r>
      <w:r>
        <w:rPr/>
        <w:t xml:space="preserve">, které ovlivňují jejich energetickou náročnost,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prodeji nebo nájmu budov nebo jejich částí v případech, kdy pro tyto budovy nastala povinnost zpracovat průkaz podle písmene a) nebo b).</w:t>
      </w:r>
    </w:p>
    <w:p>
      <w:pPr>
        <w:ind w:left="0" w:right="0"/>
      </w:pPr>
      <w:r>
        <w:rPr>
          <w:b/>
          <w:bCs/>
        </w:rPr>
        <w:t xml:space="preserve">(3)</w:t>
      </w:r>
      <w:r>
        <w:rPr/>
        <w:t xml:space="preserve"> Průkaz může být použit pro jednotlivé byty a nebytové prostory u budov s ústředním vytápěním, které je připojeno na zdroj či rozvod tepelné energie.</w:t>
      </w:r>
    </w:p>
    <w:p>
      <w:pPr>
        <w:ind w:left="0" w:right="0"/>
      </w:pPr>
      <w:r>
        <w:rPr>
          <w:b/>
          <w:bCs/>
        </w:rPr>
        <w:t xml:space="preserve">(4)</w:t>
      </w:r>
      <w:r>
        <w:rPr/>
        <w:t xml:space="preserve"> Součástí průkazu nové budovy nad 1000 m</w:t>
      </w:r>
      <w:r>
        <w:rPr>
          <w:vertAlign w:val="superscript"/>
        </w:rPr>
        <w:t xml:space="preserve">2</w:t>
      </w:r>
      <w:r>
        <w:rPr/>
        <w:t xml:space="preserve"> celkové podlahové plochy musí být výsledky posouzení technické, ekologické a ekonomické proveditelnosti alternativních systémů vytápění,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decentralizované systémy dodávky energie založené na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 nebo blokové ústřední vytápění, v případě potřeby chlazení,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tepelná čerpadla.</w:t>
      </w:r>
    </w:p>
    <w:p>
      <w:pPr>
        <w:ind w:left="0" w:right="0"/>
      </w:pPr>
      <w:r>
        <w:rPr>
          <w:b/>
          <w:bCs/>
        </w:rPr>
        <w:t xml:space="preserve">(5)</w:t>
      </w:r>
      <w:r>
        <w:rPr/>
        <w:t xml:space="preserve"> Obsah průkazu a způsob jeho zpracování, včetně využití již zpracovaných energetických auditů podle § 9, stanoví prováděcí právní předpis.</w:t>
      </w:r>
    </w:p>
    <w:p>
      <w:pPr>
        <w:ind w:left="0" w:right="0"/>
      </w:pPr>
      <w:r>
        <w:rPr>
          <w:b/>
          <w:bCs/>
        </w:rPr>
        <w:t xml:space="preserve">(6)</w:t>
      </w:r>
      <w:r>
        <w:rPr/>
        <w:t xml:space="preserve"> Provozovatelé budov využívaných pro účely školství, zdravotnictví, kultury, obchodu, sportu, ubytovacích a stravovacích služeb, zákaznických středisek odvětví vodního hospodářství, energetiky, dopravy a telekomunikací a veřejné správy o celkové podlahové ploše nad 1000 m</w:t>
      </w:r>
      <w:r>
        <w:rPr>
          <w:vertAlign w:val="superscript"/>
        </w:rPr>
        <w:t xml:space="preserve">2</w:t>
      </w:r>
      <w:r>
        <w:rPr/>
        <w:t xml:space="preserve"> jsou povinni umístit průkaz na veřejně přístupném místě v budově.</w:t>
      </w:r>
    </w:p>
    <w:p>
      <w:pPr>
        <w:ind w:left="0" w:right="0"/>
      </w:pPr>
      <w:r>
        <w:rPr>
          <w:b/>
          <w:bCs/>
        </w:rPr>
        <w:t xml:space="preserve">(7)</w:t>
      </w:r>
      <w:r>
        <w:rPr/>
        <w:t xml:space="preserve"> Průkaz může vypracovávat pouze osoba oprávněná podle § 10 nebo osoba autorizovaná podle zvláštního právního předpisu</w:t>
      </w:r>
      <w:r>
        <w:rPr>
          <w:vertAlign w:val="superscript"/>
        </w:rPr>
        <w:t xml:space="preserve">5b</w:t>
      </w:r>
      <w:r>
        <w:rPr/>
        <w:t xml:space="preserve">), přezkoušená ministerstvem podle prováděcího právního předpisu z podrobností jeho vypracování.</w:t>
      </w:r>
    </w:p>
    <w:p>
      <w:pPr>
        <w:ind w:left="0" w:right="0"/>
      </w:pPr>
      <w:r>
        <w:rPr>
          <w:b/>
          <w:bCs/>
        </w:rPr>
        <w:t xml:space="preserve">(8)</w:t>
      </w:r>
      <w:r>
        <w:rPr/>
        <w:t xml:space="preserve"> Požadavky podle odstavce 1 nemusí být splněny při změně dokončené budovy v případě, že vlastník budovy prokáže energetickým auditem, že to není technicky a funkčně možné nebo ekonomicky vhodné s ohledem na životnost budovy, její provozní účely nebo pokud to odporuje požadavkům zvláštního právního předpisu</w:t>
      </w:r>
      <w:r>
        <w:rPr>
          <w:vertAlign w:val="superscript"/>
        </w:rPr>
        <w:t xml:space="preserve">6</w:t>
      </w:r>
      <w:r>
        <w:rPr/>
        <w:t xml:space="preserve">). Požadavky podle odstavce 1 nemusí být dále splněny u budov dočasných s plánovanou dobou užívání do 2 let, budov experimentálních, budov s občasným používáním, zejména pro náboženské činnosti, obytných budov, které jsou určeny k užívání kratšímu než 4 měsíce v roce, samostatně stojících budov o celkové podlahové ploše menší než 50 m</w:t>
      </w:r>
      <w:r>
        <w:rPr>
          <w:vertAlign w:val="superscript"/>
        </w:rPr>
        <w:t xml:space="preserve">2</w:t>
      </w:r>
      <w:r>
        <w:rPr/>
        <w:t xml:space="preserve"> a budov obsahujících vnitřní technologické zdroje tepla. Požadavky dále nemusí být splněny u výrobních budov v průmyslových areálech, u provozoven a neobytných zemědělských budov s nízkou roční spotřebou energie na vytápění</w:t>
      </w:r>
      <w:r>
        <w:rPr>
          <w:vertAlign w:val="superscript"/>
        </w:rPr>
        <w:t xml:space="preserve">6a</w:t>
      </w:r>
      <w:r>
        <w:rPr/>
        <w:t xml:space="preserve">).</w:t>
      </w:r>
    </w:p>
    <w:p>
      <w:pPr>
        <w:ind w:left="0" w:right="0"/>
      </w:pPr>
      <w:r>
        <w:rPr>
          <w:b/>
          <w:bCs/>
        </w:rPr>
        <w:t xml:space="preserve">(9)</w:t>
      </w:r>
      <w:r>
        <w:rPr/>
        <w:t xml:space="preserve"> Vlastník budovy nebo společenství vlastníků jednotek nesmí při užívání nových budov nebo při užívání budov dokončených po jejich změně mající vliv na všechny tepelně technické vlastnosti budovy překročit měrné ukazatele spotřeby tepla pro vytápění a chlazení a pro přípravu teplé vody stanovené prováděcím právním předpisem</w:t>
      </w:r>
      <w:r>
        <w:rPr>
          <w:vertAlign w:val="superscript"/>
        </w:rPr>
        <w:t xml:space="preserve">6b</w:t>
      </w:r>
      <w:r>
        <w:rPr/>
        <w:t xml:space="preserve">).</w:t>
      </w:r>
    </w:p>
    <w:p>
      <w:pPr>
        <w:ind w:left="0" w:right="0"/>
      </w:pPr>
      <w:r>
        <w:rPr>
          <w:b/>
          <w:bCs/>
        </w:rPr>
        <w:t xml:space="preserve">(10)</w:t>
      </w:r>
      <w:r>
        <w:rPr/>
        <w:t xml:space="preserve"> Stavebník, vlastník budovy nebo společenství vlastníků jednotek musí vybavit vnitřní tepelná zařízení budov přístroji regulujícími dodávku tepelné energie konečným spotřebitelům v rozsahu stanoveném prováděcím právním předpisem. Konečný spotřebitel je povinen umožnit instalaci, údržbu a kontrolu těchto zařízení.</w:t>
      </w:r>
    </w:p>
    <w:p>
      <w:pPr>
        <w:ind w:left="0" w:right="0"/>
      </w:pPr>
      <w:r>
        <w:rPr>
          <w:b/>
          <w:bCs/>
        </w:rPr>
        <w:t xml:space="preserve">(11)</w:t>
      </w:r>
      <w:r>
        <w:rPr/>
        <w:t xml:space="preserve"> Vlastník budovy nebo společenství vlastníků jednotek se musí řídit pravidly pro vytápění a chlazení a dodávku teplé vody stanovenými prováděcím právním předpisem</w:t>
      </w:r>
      <w:r>
        <w:rPr>
          <w:vertAlign w:val="superscript"/>
        </w:rPr>
        <w:t xml:space="preserve">6b</w:t>
      </w:r>
      <w:r>
        <w:rPr/>
        <w:t xml:space="preserve">). Pravidla se nevztahují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prováděcím právním předpisem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prováděcím právním předpisem</w:t>
      </w:r>
      <w:r>
        <w:rPr>
          <w:vertAlign w:val="superscript"/>
        </w:rPr>
        <w:t xml:space="preserve">6b</w:t>
      </w:r>
      <w:r>
        <w:rPr/>
        <w:t xml:space="preserve">)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jsou povinni před uvedením na trh vybavit tyto spotřebiče energetickými štítky (dále jen „štítky“). Údaje na štítku musí být pravdivé a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Prodejci energetických spotřebičů uvedených v prováděcím právním předpisu</w:t>
      </w:r>
      <w:r>
        <w:rPr>
          <w:vertAlign w:val="superscript"/>
        </w:rPr>
        <w:t xml:space="preserve">6c</w:t>
      </w:r>
      <w:r>
        <w:rPr/>
        <w:t xml:space="preserve">) nesmí tyto spotřebiče nabízet k prodeji bez energetických štítků. Údaje na štítku musí být pravdivé a v českém jazyce.</w:t>
      </w:r>
    </w:p>
    <w:p>
      <w:pPr>
        <w:ind w:left="0" w:right="0"/>
      </w:pPr>
      <w:r>
        <w:rPr>
          <w:b/>
          <w:bCs/>
        </w:rPr>
        <w:t xml:space="preserve">(5)</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(6)</w:t>
      </w:r>
      <w:r>
        <w:rPr/>
        <w:t xml:space="preserve"> Štítek musí být na spotřebiči umístěn na viditelném místě.</w:t>
      </w:r>
    </w:p>
    <w:p>
      <w:pPr>
        <w:ind w:left="0" w:right="0"/>
      </w:pPr>
      <w:r>
        <w:rPr>
          <w:b/>
          <w:bCs/>
        </w:rPr>
        <w:t xml:space="preserve">(7)</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(8)</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7 před uzavřením kupní smlouvy.</w:t>
      </w:r>
    </w:p>
    <w:p>
      <w:pPr>
        <w:ind w:left="0" w:right="0"/>
      </w:pPr>
      <w:r>
        <w:rPr>
          <w:b/>
          <w:bCs/>
        </w:rPr>
        <w:t xml:space="preserve">(9)</w:t>
      </w:r>
      <w:r>
        <w:rPr/>
        <w:t xml:space="preserve"> Výrobce a dovozce musí uchovat technickou dokumentaci ke spotřebiči po dobu 5 let po ukončení výroby jednotlivého typu.</w:t>
      </w:r>
    </w:p>
    <w:p>
      <w:pPr>
        <w:ind w:left="0" w:right="0"/>
      </w:pPr>
      <w:r>
        <w:rPr>
          <w:b/>
          <w:bCs/>
        </w:rPr>
        <w:t xml:space="preserve">(10)</w:t>
      </w:r>
      <w:r>
        <w:rPr/>
        <w:t xml:space="preserve"> Podrobnosti označování energetických spotřebičů štítky a zpracování technické dokumentace stanoví vyhláška.</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Výrobce, nebo jeho zplnomocněný zástupce, nebo dovozce energetických spotřebičů stanovených prováděcím právním předpisem je povinen před uvedením na trh nebo do provozu opatřit tyto energetické spotřebiče označením CE</w:t>
      </w:r>
      <w:r>
        <w:rPr>
          <w:vertAlign w:val="superscript"/>
        </w:rPr>
        <w:t xml:space="preserve">6d</w:t>
      </w:r>
      <w:r>
        <w:rPr/>
        <w:t xml:space="preserve">) a vydat prohlášení o shodě s požadavky na ekodesign, které deklaruje splnění požadavků na ekodesign stanovených prováděcím právním předpisem.</w:t>
      </w:r>
    </w:p>
    <w:p>
      <w:pPr>
        <w:ind w:left="0" w:right="0"/>
      </w:pPr>
      <w:r>
        <w:rPr>
          <w:b/>
          <w:bCs/>
        </w:rPr>
        <w:t xml:space="preserve">(2)</w:t>
      </w:r>
      <w:r>
        <w:rPr/>
        <w:t xml:space="preserve"> Výrobcem podle odstavce 1 se rozumí fyzická nebo právnická osoba vyrábějící energetický spotřebič a uvádějící jej na trh nebo do provozu, a to pod vlastním jménem nebo obchodním označením. Za výrobce se považuje i fyzická nebo právnická osoba, která uvádí na trh nebo do provozu energetické spotřebiče, neexistuje-li výrobce podle předchozí věty nebo dovozce.</w:t>
      </w:r>
    </w:p>
    <w:p>
      <w:pPr>
        <w:ind w:left="0" w:right="0"/>
      </w:pPr>
      <w:r>
        <w:rPr>
          <w:b/>
          <w:bCs/>
        </w:rPr>
        <w:t xml:space="preserve">(3)</w:t>
      </w:r>
      <w:r>
        <w:rPr/>
        <w:t xml:space="preserve"> Obsah a podrobnosti zpracování prohlášení o shodě s požadavky na ekodesign stanoví prováděcí právní předpis.</w:t>
      </w:r>
    </w:p>
    <w:p>
      <w:pPr>
        <w:ind w:left="0" w:right="0"/>
      </w:pPr>
      <w:r>
        <w:rPr>
          <w:b/>
          <w:bCs/>
        </w:rPr>
        <w:t xml:space="preserve">(4)</w:t>
      </w:r>
      <w:r>
        <w:rPr/>
        <w:t xml:space="preserve"> Energetické spotřebiče stanovené podle odstavce 1 nesmí být opatřeny jiným označením, které by svým významem nebo podobou mohlo vést k záměně s označením CE. Označení CE musí splňovat požadavky uvedené ve zvláštních právních předpisech</w:t>
      </w:r>
      <w:r>
        <w:rPr>
          <w:vertAlign w:val="superscript"/>
        </w:rPr>
        <w:t xml:space="preserve">6e</w:t>
      </w:r>
      <w:r>
        <w:rPr/>
        <w:t xml:space="preserve">) upravujících grafickou podobu označení CE.</w:t>
      </w:r>
    </w:p>
    <w:p>
      <w:pPr>
        <w:ind w:left="0" w:right="0"/>
      </w:pPr>
      <w:r>
        <w:rPr>
          <w:b/>
          <w:bCs/>
        </w:rPr>
        <w:t xml:space="preserve">(5)</w:t>
      </w:r>
      <w:r>
        <w:rPr/>
        <w:t xml:space="preserve"> Požadavky na ekodesign se nevztahují na energetické spotřebiče vystavené na veletrzích, výstavách nebo předváděcích akcích, pokud jsou opatřeny oznámením, že nesmějí být uváděny na trh nebo do provozu na území Společenství, dokud nesplní požadavky stanovené tímto zákonem a prováděcími právními předpisy.</w:t>
      </w:r>
    </w:p>
    <w:p>
      <w:pPr>
        <w:ind w:left="0" w:right="0"/>
      </w:pPr>
      <w:r>
        <w:rPr>
          <w:b/>
          <w:bCs/>
        </w:rPr>
        <w:t xml:space="preserve">(6)</w:t>
      </w:r>
      <w:r>
        <w:rPr/>
        <w:t xml:space="preserve"> Osoby, na něž se vztahuje povinnost podle odstavce 1, musí uchovávat prohlášení o shodě a dokumenty týkající se provedeného posouzení shody po dobu 10 let od vyrobení posledního kusu daného energetického spotřebiče a jsou povinny je na požádání poskytnout do 10 dnů příslušnému kontrolnímu orgánu.</w:t>
      </w:r>
    </w:p>
    <w:p>
      <w:pPr>
        <w:ind w:left="0" w:right="0"/>
      </w:pPr>
      <w:r>
        <w:rPr>
          <w:b/>
          <w:bCs/>
        </w:rPr>
        <w:t xml:space="preserve">(7)</w:t>
      </w:r>
      <w:r>
        <w:rPr/>
        <w:t xml:space="preserve"> Dokumentace podle odstavce 3 musí být poskytnuta konečným uživatelům výrobku v českém jazyce. To neplatí, lze-li tyto informace vyjádřit pomocí harmonizovaných symbolů nebo uznávaných kódů.</w:t>
      </w:r>
    </w:p>
    <w:p>
      <w:pPr>
        <w:ind w:left="0" w:right="0"/>
      </w:pPr>
      <w:r>
        <w:rPr>
          <w:b/>
          <w:bCs/>
        </w:rPr>
        <w:t xml:space="preserve">(8)</w:t>
      </w:r>
      <w:r>
        <w:rPr/>
        <w:t xml:space="preserve"> Prováděcí právní předpisy mohou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na ekodesign,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materiálovém složení a spotřebě energetických spotřebičů, materiálech nebo zdrojích,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instalaci energetického spotřebiče,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technické normy nebo postupy, které se mají použít,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posouzení shody,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informace, které mají poskytnout výrobci, zejména informace o prvcích technické dokumentace, které jsou třeba pro usnadnění kontrol shody energetického spotřebiče, dále nezbytné informace o tom, jak mohou spotřebitelé přispět k udržitelnému užívání výrobku, informace o ekologickém profilu výrobku a výhodách ekodesignu, informace o materiálovém složení a spotřebě energie, materiálů nebo zdrojů konstrukčních části a podsestav.</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provádí energetický auditor. Energetický audit musí být zpracován s využitím energeticky úsporných materiálů a postupů, objektivně a pravdivě. Energetický audit provedený v rozsahu stanoveném prováděcím právním předpisem</w:t>
      </w:r>
      <w:r>
        <w:rPr>
          <w:vertAlign w:val="superscript"/>
        </w:rPr>
        <w:t xml:space="preserve">6f</w:t>
      </w:r>
      <w:r>
        <w:rPr/>
        <w:t xml:space="preserve">)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dosažitelných energetických úspor včetně použitých vstupních a výstupních údajů a metod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a energetický auditor povinen poskytnout na vyžádání kopii zprávy o energetickém auditu ministerstvu, Státní energetické inspekci, kraji a obci, které jsou místně příslušné podle místa, v němž se nachází posuzované energetické hospodářství a budova, a to i v elektronické podobě.</w:t>
      </w:r>
    </w:p>
    <w:p>
      <w:pPr>
        <w:ind w:left="0" w:right="0"/>
      </w:pPr>
      <w:r>
        <w:rPr>
          <w:b/>
          <w:bCs/>
        </w:rPr>
        <w:t xml:space="preserve">(3)</w:t>
      </w:r>
      <w:r>
        <w:rPr/>
        <w:t xml:space="preserve"> Povinnost podrobit energetické hospodářství a budovu, k nimž má vlastnické nebo jiné užívací právo,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 pokud instalovaný výkon energetického zdroje přesahuje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hlavního města Prahy a příspěvkové organizace s celkovou roční spotřebou energie vyšší, než je prováděcím právním předpisem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prováděcím právním předpisem stanovená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Energetický audit se neprovádí, jestliže stávající technologická zařízení na výrobu elektřiny a tepelné energie, na přenos elektřiny a distribuci elektřiny a na rozvod tepelné energie odpovídají požadavkům na účinnost užití energie stanoveným zvláštním právním předpisem.</w:t>
      </w:r>
    </w:p>
    <w:p>
      <w:pPr>
        <w:ind w:left="0" w:right="0"/>
      </w:pPr>
      <w:r>
        <w:rPr>
          <w:b/>
          <w:bCs/>
        </w:rPr>
        <w:t xml:space="preserve">(6)</w:t>
      </w:r>
      <w:r>
        <w:rPr/>
        <w:t xml:space="preserve"> Energetický audit se neprovádí u stávajících budov, jejichž měrná spotřeba tepla při vytápění odpovídá požadavkům stanoveným podle prováděcího právního předpisu, a u budov obsahujících vnitřní technologické zdroje tepla v rozsahu stanoveném prováděcím právním předpisem.</w:t>
      </w:r>
    </w:p>
    <w:p>
      <w:pPr>
        <w:ind w:left="0" w:right="0"/>
      </w:pPr>
      <w:r>
        <w:rPr>
          <w:b/>
          <w:bCs/>
        </w:rPr>
        <w:t xml:space="preserve">(7)</w:t>
      </w:r>
      <w:r>
        <w:rPr/>
        <w:t xml:space="preserve"> Pokud povinnost podle odstavce 3 plní vlastník nebo osoba, která má jiné užívací právo, má povinnost poskytnout nezbytnou součinnost.</w:t>
      </w:r>
    </w:p>
    <w:p>
      <w:pPr>
        <w:ind w:left="0" w:right="0"/>
      </w:pPr>
      <w:r>
        <w:rPr>
          <w:b/>
          <w:bCs/>
        </w:rPr>
        <w:t xml:space="preserve">(8)</w:t>
      </w:r>
      <w:r>
        <w:rPr/>
        <w:t xml:space="preserve"> Zpracování energetického auditu hradí zadavatel auditu.</w:t>
      </w:r>
    </w:p>
    <w:p>
      <w:pPr>
        <w:ind w:left="0" w:right="0"/>
      </w:pPr>
      <w:r>
        <w:rPr>
          <w:b/>
          <w:bCs/>
        </w:rPr>
        <w:t xml:space="preserve">(9)</w:t>
      </w:r>
      <w:r>
        <w:rPr/>
        <w:t xml:space="preserve"> Podrobnosti týkající se náležitostí energetického auditu stanoví vyhláška.</w:t>
      </w:r>
    </w:p>
    <w:p>
      <w:pPr>
        <w:ind w:left="0" w:right="0"/>
      </w:pPr>
      <w:r>
        <w:rPr>
          <w:b/>
          <w:bCs/>
        </w:rPr>
        <w:t xml:space="preserve">(10)</w:t>
      </w:r>
      <w:r>
        <w:rPr/>
        <w:t xml:space="preserve"> Energetický audit může provést také osoba, která je usazena v jiném členském státě Evropské unie, jestliže vykonává činnost energetického auditora na území České republiky dočasně nebo ojediněle,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státním příslušníkem členského státu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 k výkonu činnosti energetického auditora podle právních předpisů jiného členského státu Evropské unie.</w:t>
      </w:r>
    </w:p>
    <w:p>
      <w:pPr>
        <w:ind w:left="0" w:right="0"/>
      </w:pPr>
      <w:r>
        <w:rPr>
          <w:b/>
          <w:bCs/>
        </w:rPr>
        <w:t xml:space="preserve">(11)</w:t>
      </w:r>
      <w:r>
        <w:rPr/>
        <w:t xml:space="preserve"> Osoba oprávněná vykonávat audit podle odstavce 10 je povinna oznámit provedení auditu ministerstvu.</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 a to způsobem umožňujícím dálkový přístup.</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5.</w:t>
      </w:r>
    </w:p>
    <w:p>
      <w:pPr>
        <w:ind w:left="0" w:right="0"/>
      </w:pPr>
      <w:r>
        <w:rPr>
          <w:b/>
          <w:bCs/>
        </w:rPr>
        <w:t xml:space="preserve">(3)</w:t>
      </w:r>
      <w:r>
        <w:rPr/>
        <w:t xml:space="preserve"> Způsob podání žádosti o složení odborné zkoušky, její obsah a průběh (dále jen „zkušební řád“) stanoví prováděcí právní předpis. Písemná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o odborné způsobilosti, které zahrnují doklad o vzdělání a doklad o praxi v oboru; při uznávání odborné kvalifikace nebo jiné způsobilosti příslušníků členských států Evropské unie se postupuje podle zvláštního zákona</w:t>
      </w:r>
      <w:r>
        <w:rPr>
          <w:vertAlign w:val="superscript"/>
        </w:rPr>
        <w:t xml:space="preserve">6g</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minimálně 2 zpráv o energetických auditech provedených v posledních 2 letech, na jejichž provedení se uchazeč podílel, s potvrzením o spoluúčasti od provádějícího auditora.</w:t>
      </w:r>
    </w:p>
    <w:p>
      <w:pPr>
        <w:ind w:left="0" w:right="0"/>
      </w:pPr>
      <w:r>
        <w:rPr>
          <w:b/>
          <w:bCs/>
        </w:rPr>
        <w:t xml:space="preserve">(4)</w:t>
      </w:r>
      <w:r>
        <w:rPr/>
        <w:t xml:space="preserve"> Odborná zkouška se koná před zkušební komisí, kterou jmenuje ministerstvo. Uchazeč obdrží písemné oznámení o termínu a místě konání zkoušky nejméně 10 dnů před jejím konáním spolu s posudkem předložených energetických auditů. O průběhu a výsledku zkoušky zkušební komise pořizuje protokol a na jeho základě vydává doklad o zkoušce.</w:t>
      </w:r>
    </w:p>
    <w:p>
      <w:pPr>
        <w:ind w:left="0" w:right="0"/>
      </w:pPr>
      <w:r>
        <w:rPr>
          <w:b/>
          <w:bCs/>
        </w:rPr>
        <w:t xml:space="preserve">(5)</w:t>
      </w:r>
      <w:r>
        <w:rPr/>
        <w:t xml:space="preserve"> Odbornou způsobilost k provádění energetických auditů má ten, kdo prokáže ukončené vysokoškolské vzdělání magisterského nebo doktorského studijního programu v oblasti technických věd a technologií a 3 roky praxe v oboru nebo ukončené středoškolské vzdělání s maturitní zkouškou a 5 let praxe v oboru nebo ukončené středoškolské vzdělání a odpovídající dílčí kvalifikace podle zákona č. </w:t>
      </w:r>
      <w:hyperlink r:id="rId7" w:history="1">
        <w:r>
          <w:rPr>
            <w:color w:val="darkblue"/>
            <w:u w:val="single"/>
          </w:rPr>
          <w:t xml:space="preserve">179/2006 Sb.</w:t>
        </w:r>
      </w:hyperlink>
      <w:r>
        <w:rPr/>
        <w:t xml:space="preserve"> a 5 let praxe, nebo vysokoškolské vzdělání v bakalářském studijním programu v oblasti technických věd a technologií a 5 let praxe v oboru.</w:t>
      </w:r>
    </w:p>
    <w:p>
      <w:pPr>
        <w:ind w:left="0" w:right="0"/>
      </w:pPr>
      <w:r>
        <w:rPr>
          <w:b/>
          <w:bCs/>
        </w:rPr>
        <w:t xml:space="preserve">(6)</w:t>
      </w:r>
      <w:r>
        <w:rPr/>
        <w:t xml:space="preserve"> Uchazeč podává ministerstvu písemnou žádost o zápis do seznamu energetických auditorů, jejíž vzor stanoví prováděcí právní předpis</w:t>
      </w:r>
      <w:r>
        <w:rPr>
          <w:vertAlign w:val="superscript"/>
        </w:rPr>
        <w:t xml:space="preserve">6f</w:t>
      </w:r>
      <w:r>
        <w:rPr/>
        <w:t xml:space="preserve">).</w:t>
      </w:r>
    </w:p>
    <w:p>
      <w:pPr>
        <w:ind w:left="0" w:right="0"/>
      </w:pPr>
      <w:r>
        <w:rPr>
          <w:b/>
          <w:bCs/>
        </w:rPr>
        <w:t xml:space="preserve">(7)</w:t>
      </w:r>
      <w:r>
        <w:rPr/>
        <w:t xml:space="preserve"> K žádosti o zápis do seznamu energetických auditorů podle odstavce 6 se připojí doklad o složení odborné zkoušky.</w:t>
      </w:r>
    </w:p>
    <w:p>
      <w:pPr>
        <w:ind w:left="0" w:right="0"/>
      </w:pPr>
      <w:r>
        <w:rPr>
          <w:b/>
          <w:bCs/>
        </w:rPr>
        <w:t xml:space="preserve">(8)</w:t>
      </w:r>
      <w:r>
        <w:rPr/>
        <w:t xml:space="preserve"> Ministerstvo si za účelem prokázání bezúhonnosti uchazeče vyžádá podle zvláštního právního předpisu</w:t>
      </w:r>
      <w:r>
        <w:rPr>
          <w:vertAlign w:val="superscript"/>
        </w:rPr>
        <w:t xml:space="preserve">6h</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(9)</w:t>
      </w:r>
      <w:r>
        <w:rPr/>
        <w:t xml:space="preserve"> Pokud jsou splněny podmínky pro zápis do seznamu energetických auditorů, obdrží uchazeč osvědčení o odborné způsobilosti energetického auditora. Nejsou-li splněny podmínky pro zápis do seznamu energetických auditorů, obdrží uchazeč písemné rozhodnutí ministerstva o zamítnutí žádosti. Oprávnění k činnosti energetického auditora vzniká též marným uplynutím lhůty a způsobem podle § 28 až 30 zákona o volném pohybu služeb.</w:t>
      </w:r>
    </w:p>
    <w:p>
      <w:pPr>
        <w:ind w:left="0" w:right="0"/>
      </w:pPr>
      <w:r>
        <w:rPr>
          <w:b/>
          <w:bCs/>
        </w:rPr>
        <w:t xml:space="preserve">(10)</w:t>
      </w:r>
      <w:r>
        <w:rPr/>
        <w:t xml:space="preserve"> Ministerstvo nepřipustí ke zkoušce nebo nezapíše do seznamu energetických auditorů 3 roky od podání žádosti uchazeče, který v žádostech uvedl nepravdivé informace prokazující jeho odbornou způsobilost, zejména o dosaženém vzdělání, délce praxe a provedených auditech.</w:t>
      </w:r>
    </w:p>
    <w:p>
      <w:pPr>
        <w:ind w:left="0" w:right="0"/>
      </w:pPr>
      <w:r>
        <w:rPr>
          <w:b/>
          <w:bCs/>
        </w:rPr>
        <w:t xml:space="preserve">(11)</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které jsou zadavatelem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společnosti nebo členem družstva, které jsou zadavatelem,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 osobám, které mají u fyzických osob nebo v právnických osobách, jež jsou zadavatelem energetického auditu, postavení, které by mohlo ovlivnit činnost energetického auditora.</w:t>
      </w:r>
    </w:p>
    <w:p>
      <w:pPr>
        <w:ind w:left="0" w:right="0"/>
      </w:pPr>
      <w:r>
        <w:rPr>
          <w:b/>
          <w:bCs/>
        </w:rPr>
        <w:t xml:space="preserve">(12)</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(13)</w:t>
      </w:r>
      <w:r>
        <w:rPr/>
        <w:t xml:space="preserve"> Energetický auditor je povinen zachovat mlčenlivost o všech skutečnostech týkajících se fyzické nebo právnické osoby, o kterých se dozvěděl v souvislosti s prováděním energetického auditu na jejím energetickém hospodářství a budovách. Získané skutečnosti nesmí použít ke svému prospěchu nebo k prospěchu nebo újmě třetí osoby. Zprostit energetického auditora mlčenlivosti může pouze fyzická nebo právnická osoba, na jejímž energetickém hospodářství a budovách byl proveden energetický audit, nebo stanoví-li tak jiný zákon.</w:t>
      </w:r>
    </w:p>
    <w:p>
      <w:pPr>
        <w:ind w:left="0" w:right="0"/>
      </w:pPr>
      <w:r>
        <w:rPr>
          <w:b/>
          <w:bCs/>
        </w:rPr>
        <w:t xml:space="preserve">(14)</w:t>
      </w:r>
      <w:r>
        <w:rPr/>
        <w:t xml:space="preserve"> Energetický auditor opatřuje zprávu o energetickém auditu vlastnoručním podpisem, svým jménem a číslem, pod nímž je zapsán v seznamu energetických auditorů vedeném ministerstvem. Evidenční číslo energetického auditora nesmí být auditorem používáno na jiných dokumentech, než jsou energetický audit, průkaz budovy, inspekce kotle, klimatizačního zařízení, podklady pro výběrová řízení na tyto činnosti a vyhodnocení účinků plnění energetických auditů.</w:t>
      </w:r>
    </w:p>
    <w:p>
      <w:pPr>
        <w:ind w:left="0" w:right="0"/>
      </w:pPr>
      <w:r>
        <w:rPr>
          <w:b/>
          <w:bCs/>
        </w:rPr>
        <w:t xml:space="preserve">(15)</w:t>
      </w:r>
      <w:r>
        <w:rPr/>
        <w:t xml:space="preserve"> Energetický auditor je povinen vést chronologický seznam energetických auditů a ostatních činností opatřených číslem, pod nímž je zapsán v seznamu energetických auditorů vedeném ministerstvem. Tento seznam energetických auditů a ostatních činností za uplynulý rok je povinen předložit na vyžádání nebo každoročně vždy do 31. března ministerstvu, a to i když energetické audity nebo ostatní činnosti neprováděl.</w:t>
      </w:r>
    </w:p>
    <w:p>
      <w:pPr>
        <w:ind w:left="0" w:right="0"/>
      </w:pPr>
      <w:r>
        <w:rPr>
          <w:b/>
          <w:bCs/>
        </w:rPr>
        <w:t xml:space="preserve">(16)</w:t>
      </w:r>
      <w:r>
        <w:rPr/>
        <w:t xml:space="preserve"> Seznam energetických auditů a ostatních činností, který předkládá energetický auditor podle odstavce 15, obsahuje název zadavatele, název zařízení, jeho roční spotřebu energie v GJ, navržené úspory v GJ a datum, kdy byl energetický audit, průkaz nebo inspekce kotlů nebo klimatizačních zařízení objednán a vyhotoven.</w:t>
      </w:r>
    </w:p>
    <w:p>
      <w:pPr>
        <w:ind w:left="0" w:right="0"/>
      </w:pPr>
      <w:r>
        <w:rPr>
          <w:b/>
          <w:bCs/>
        </w:rPr>
        <w:t xml:space="preserve">(17)</w:t>
      </w:r>
      <w:r>
        <w:rPr/>
        <w:t xml:space="preserve"> Dokumenty podle odstavce 14 označené uchazečem o zápis do seznamu energetických auditorů nebo energetickým auditorem se předkládají v originále nebo notářsky ověřené kopii.</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energetické náročnosti budov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osob zpracovávajících průkazy podle § 6a odst. 7 nebo provádějících kontroly podle § 6 odst. 5 a 8,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 a vydává osvědčení o odborné způsobilosti energetického auditora, dále vydává osvědčení o odborné způsobilosti osob zpracovávajících průkazy podle § 6a odst. 7 nebo provádějících kontroly podle § 6 odst. 5 a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10 až 14 nebo nedodržuje-li opakovaně povinnosti pro provádění a zpracování energetického auditu stanovené tímto zákonem nebo nevykonává-li činnost energetického auditora déle než 5 let nebo pokud energetický auditor zemřel,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informuje Evropskou komisi o plnění závazků vyplývajících ze směrnic a rozhodnutí Evropského parlamentu a Rady.</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Řízení o zrušení zápisu v seznamu energetických auditorů</w:t>
      </w:r>
    </w:p>
    <w:p>
      <w:pPr>
        <w:ind w:left="0" w:right="0"/>
      </w:pPr>
      <w:r>
        <w:rPr>
          <w:b/>
          <w:bCs/>
        </w:rPr>
        <w:t xml:space="preserve">(1)</w:t>
      </w:r>
      <w:r>
        <w:rPr/>
        <w:t xml:space="preserve"> Ministerstvo zruší zápis energetického auditora v seznamu auditorů, poruší-li auditor povinnosti stanovené mu v § 9 tohoto zákona (dále jen „provinění“). O zrušení zápisu v seznamu energetických auditorů rozhoduje ministerstvo v řízení, které se zahajuje na základě podání doručeného ministerstvu nebo na základě podnětu ze Státní energetické inspekce nebo z úřední moci ministerstva.</w:t>
      </w:r>
    </w:p>
    <w:p>
      <w:pPr>
        <w:ind w:left="0" w:right="0"/>
      </w:pPr>
      <w:r>
        <w:rPr>
          <w:b/>
          <w:bCs/>
        </w:rPr>
        <w:t xml:space="preserve">(2)</w:t>
      </w:r>
      <w:r>
        <w:rPr/>
        <w:t xml:space="preserve"> Řízení o zrušení zápisu v seznamu energetických auditorů může být zahájeno do 6 měsíců ode dne, kdy se ministerstvo dozvědělo o provinění, nejpozději však do 3 let ode dne, kdy k provinění došlo.</w:t>
      </w:r>
    </w:p>
    <w:p>
      <w:pPr>
        <w:ind w:left="0" w:right="0"/>
      </w:pPr>
      <w:r>
        <w:rPr>
          <w:b/>
          <w:bCs/>
        </w:rPr>
        <w:t xml:space="preserve">(3)</w:t>
      </w:r>
      <w:r>
        <w:rPr/>
        <w:t xml:space="preserve"> Návrh na zahájení řízení musí mít písemnou formu a musí být skutkově vymezen. Důvody uvedené v návrhu na zahájení řízení nesmí být po zahájení řízení měněny.</w:t>
      </w:r>
    </w:p>
    <w:p>
      <w:pPr>
        <w:ind w:left="0" w:right="0"/>
      </w:pPr>
      <w:r>
        <w:rPr>
          <w:b/>
          <w:bCs/>
        </w:rPr>
        <w:t xml:space="preserve">(4)</w:t>
      </w:r>
      <w:r>
        <w:rPr/>
        <w:t xml:space="preserve"> Energetický auditor, proti kterému je řízení vedeno, má právo vyjádřit se k návrhu podle odstavce 3, k důvodům v návrhu uvedeným, ke způsobu zjištění jeho provinění, k výsledkům kontroly Státní energetické inspekce; dále má právo navrhovat důkazy a jejich doplnění, klást svědkům nebo znalcům otázky při ústním jednání.</w:t>
      </w:r>
    </w:p>
    <w:p>
      <w:pPr>
        <w:ind w:left="0" w:right="0"/>
      </w:pPr>
      <w:r>
        <w:rPr>
          <w:b/>
          <w:bCs/>
        </w:rPr>
        <w:t xml:space="preserve">(5)</w:t>
      </w:r>
      <w:r>
        <w:rPr/>
        <w:t xml:space="preserve"> Ministerstvo může rozhodnout i bez ústního jednání, jestliže s tím energetický auditor souhlasí. Má se za to, že souhlas je udělen také tehdy, nevyjádří-li energetický auditor do 14 dnů od doručení výzvy ministerstva svůj nesouhlas s takovým projednáním věci; o tom musí být ve výzvě poučení.</w:t>
      </w:r>
    </w:p>
    <w:p>
      <w:pPr>
        <w:ind w:left="0" w:right="0"/>
      </w:pPr>
      <w:r>
        <w:rPr>
          <w:b/>
          <w:bCs/>
        </w:rPr>
        <w:t xml:space="preserve">(6)</w:t>
      </w:r>
      <w:r>
        <w:rPr/>
        <w:t xml:space="preserve"> Podkladem pro vydání rozhodnutí jsou vždy výsledky kontroly provedené Státní energetickou inspekcí; tato kontrola se provádí v řízení nebo může být provedena i před zahájením řízení, jde-li o řízení zahájené z podnětu Státní energetické inspekce.</w:t>
      </w:r>
    </w:p>
    <w:p>
      <w:pPr>
        <w:ind w:left="0" w:right="0"/>
      </w:pPr>
      <w:r>
        <w:rPr>
          <w:b/>
          <w:bCs/>
        </w:rPr>
        <w:t xml:space="preserve">(7)</w:t>
      </w:r>
      <w:r>
        <w:rPr/>
        <w:t xml:space="preserve"> Ministerstvo může na návrh Státní energetické inspekce v případě méně závažných provinění rozhodnout o přezkoušení energetického auditora. Neuspěje-li energetický auditor při přezkoušení, ministerstvo zruší rozhodnutím zápis v seznamu energetických auditorů.</w:t>
      </w:r>
    </w:p>
    <w:p>
      <w:pPr>
        <w:ind w:left="0" w:right="0"/>
      </w:pPr>
      <w:r>
        <w:rPr>
          <w:b/>
          <w:bCs/>
        </w:rPr>
        <w:t xml:space="preserve">(8)</w:t>
      </w:r>
      <w:r>
        <w:rPr/>
        <w:t xml:space="preserve"> Energetický auditor je povinen do 14 dnů po nabytí právní moci rozhodnutí o zrušení zápisu do seznamu energetických auditorů vrátit ministerstvu originál osvědčení.</w:t>
      </w:r>
    </w:p>
    <w:p>
      <w:pPr>
        <w:ind w:left="0" w:right="0"/>
      </w:pPr>
      <w:r>
        <w:rPr>
          <w:b/>
          <w:bCs/>
        </w:rPr>
        <w:t xml:space="preserve">(9)</w:t>
      </w:r>
      <w:r>
        <w:rPr/>
        <w:t xml:space="preserve"> Energetický auditor, jemuž byl zrušen zápis do seznamu energetických auditorů, se může přihlásit ke složení zkoušky podle § 10 tohoto zákona nejdříve po uplynutí 1 roku od nabytí právní moci rozhodnutí o zrušení zápisu do seznamu energetických auditorů.</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393/2007 Sb.</w:t>
        </w:r>
      </w:hyperlink>
      <w:r>
        <w:rPr/>
        <w:t xml:space="preserve"> (účinnost: 1. ledna 2008)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Za přestupek podle odstavce 1 písm. h), j), k) a n) lze uložit pokutu do 50 000 Kč, za přestupek podle odstavce 1 písm. g), i), l) a m) pokutu do 100 000 Kč a za přestupek podle odstavce 1 písm. a), b), c), d) a e) pokutu do 200 000 Kč.</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393/2007 Sb.</w:t>
        </w:r>
      </w:hyperlink>
      <w:r>
        <w:rPr/>
        <w:t xml:space="preserve"> (účinnost: 1. ledna 2008)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výrobce nebo jeho zplnomocněný zástupce nebo jako dovozce energetických spotřebičů neopatří tyto spotřebiče označením CE nebo nevydá prohlášení o shodě podle § 8a odst. 1, či tyto spotřebiče opatří jiným označením, které by svým významem nebo podobou mohlo vést k záměně s označením CE podle § 8a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jako výrobce nebo jeho zplnomocněný zástupce nebo jako dovozce energetických spotřebičů neuchová prohlášení o shodě a dokumenty týkající se provedeného posouzení shody po stanovenou dobu, či je ve stanoveném termínu neposkytne příslušnému kontrolnímu orgánu podle § 8a odst. 6.</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výrobce elektřiny nebo tepelné energie nezajistí u nově zřizovaných zařízení pro výrobu elektřiny nebo tepelné energie nebo u zařízení na výrobu elektřiny nebo tepelné energie, u nichž se provádí změna dokončených staveb,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výrobce nebo dovozce nebo prodejce uvede na trh spotřebiče energie v rozporu s § 6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provozovatel budov pro účely uvedené v § 6a odst. 6 neumístí průkaz na veřejně přístupném místě v budově,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tepla se zdrojem o součtovém výkonu zdroje vyšším než 5 MW</w:t>
      </w:r>
      <w:r>
        <w:rPr>
          <w:vertAlign w:val="subscript"/>
        </w:rPr>
        <w:t xml:space="preserve">t</w:t>
      </w:r>
      <w:r>
        <w:rPr/>
        <w:t xml:space="preserve"> v rozporu s § 7 odst. 1 nepodrobí dokumentaci stavby energetickému auditu z hlediska zavedení výroby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výrobce elektřiny z tepelných procesů se zdrojem o součtovém výkonu zdroje vyšším než 10 MW</w:t>
      </w:r>
      <w:r>
        <w:rPr>
          <w:vertAlign w:val="subscript"/>
        </w:rPr>
        <w:t xml:space="preserve">e</w:t>
      </w:r>
      <w:r>
        <w:rPr/>
        <w:t xml:space="preserve"> v rozporu s § 7 odst. 2 nepodrobí dokumentaci stavby energetickému auditu z hlediska zavedení dodávky tepla,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tuzemský výrobce nebo dovozce hromadně vyráběných energetických spotřebičů v rozporu s § 8 odst. 1 nevybaví tyto spotřebiče štítky vyhovujícími požadavkům podle § 8 odst. 3, 6 nebo nezpracuje technickou dokumentaci podle § 8 odst. 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prodejce energetických spotřebičů uvedených v prováděcím právním předpisu</w:t>
      </w:r>
      <w:r>
        <w:rPr>
          <w:vertAlign w:val="superscript"/>
        </w:rPr>
        <w:t xml:space="preserve">6c</w:t>
      </w:r>
      <w:r>
        <w:rPr/>
        <w:t xml:space="preserve">) v rozporu s § 8 odst. 4 nabídne energetický spotřebič bez energetického štítku,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tuzemský výrobce, dovozce nebo distributor hromadně vyráběných energetických spotřebičů použije v rozporu s § 8 odst. 5 značky, symboly nebo popisy, které by mohly uvést zákazníka v omyl,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8 odst. 8 jako prodejce energetických spotřebičů nabízející tyto spotřebiče v rámci zásilkového obchodu, v katalozích nebo jinou cestou, nezajistí, aby se zájemce mohl seznámit s technickou dokumentací ještě před uzavřením kupní smlouvy.</w:t>
      </w:r>
    </w:p>
    <w:p>
      <w:pPr>
        <w:ind w:left="0" w:right="0"/>
      </w:pPr>
      <w:r>
        <w:rPr>
          <w:b/>
          <w:bCs/>
        </w:rPr>
        <w:t xml:space="preserve">(3)</w:t>
      </w:r>
      <w:r>
        <w:rPr/>
        <w:t xml:space="preserve"> Společenství vlastníků jednotek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nevybaví vnitřní tepelné zařízení budovy přístroji regulujícími dodávku tepelné energie konečným spotřebitelům podle § 6a odst. 10 ve lhůtě podle § 14 odst.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pravidly pro vytápění nebo chlazení anebo dodávku teplé vody podle § 6a odst. 11.</w:t>
      </w:r>
    </w:p>
    <w:p>
      <w:pPr>
        <w:ind w:left="0" w:right="0"/>
      </w:pPr>
      <w:r>
        <w:rPr>
          <w:b/>
          <w:bCs/>
        </w:rPr>
        <w:t xml:space="preserve">(4)</w:t>
      </w:r>
      <w:r>
        <w:rPr/>
        <w:t xml:space="preserve"> Energetický auditor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9 odst. 1 zpracuje neobjektivní zprávu o energetickém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energetický audit v případech uvedených v § 10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energetický audit bez pojištění podle § 10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zachovávat mlčenlivost podle § 10 odst. 12,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evidenční číslo energetického auditora v rozporu s § 10 odst. 13,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nevede chronologický seznam energetických auditů a ostatních činností nebo jej na vyžádání nepředloží podle § 10 odst. 14.</w:t>
      </w:r>
    </w:p>
    <w:p>
      <w:pPr>
        <w:ind w:left="0" w:right="0"/>
      </w:pPr>
      <w:r>
        <w:rPr>
          <w:b/>
          <w:bCs/>
        </w:rPr>
        <w:t xml:space="preserve">(5)</w:t>
      </w:r>
      <w:r>
        <w:rPr/>
        <w:t xml:space="preserve">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osoba provádějící kontrolu kotlů uvedených v § 6 odst. 2 až 4 nesplňuje požadavky uvedené v § 6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osoba provádějící kontrolu klimatizačních systémů uvedených v § 6 odst. 7 nesplňuje požadavky podle § 6 odst.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zpracovatel průkazu nesplňuje požadavky podle § 6a odst. 7.</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50 000 Kč, jde-li o správní delikt podle odstavce 1 písm. h), j), k) a n) a odstavce 3 písm. b)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správní delikt podle odstavce 1 písm. g), i), l) a m), odstavce 3 písm. a) a c), odstavce 4 písm. b), c), d), e), a g) a odstavce 5 písm. a),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200 000 Kč, jde-li o správní delikt podle odstavce 1 písm. a), b), c), d) a 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1 000 000 Kč, jde-li o správní delikt podle odstavce 1 písm. o) a p), odstavce 2 písm. a), d), e), h), i) a j) a odstavce 4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5 000 000 Kč, jde-li o správní delikt podle odstavce 2 písm. b), c) a g).</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závazná stanoviska, jejichž rozsah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podle odstavce 3 a závazné stanovisko podle odstavce 2 ministerstvo nebo Státní energetická inspekce.</w:t>
      </w:r>
    </w:p>
    <w:p>
      <w:pPr>
        <w:pStyle w:val="Heading3"/>
      </w:pPr>
      <w:r>
        <w:rPr>
          <w:b/>
          <w:bCs/>
        </w:rPr>
        <w:t xml:space="preserve">§ 13a</w:t>
      </w:r>
      <w:r>
        <w:rPr>
          <w:rStyle w:val="hidden"/>
        </w:rPr>
        <w:t xml:space="preserve"> -</w:t>
      </w:r>
      <w:br/>
      <w:r>
        <w:rPr/>
        <w:t xml:space="preserve">Kontrola</w:t>
      </w:r>
    </w:p>
    <w:p>
      <w:pPr>
        <w:ind w:left="0" w:right="0"/>
      </w:pPr>
      <w:r>
        <w:rPr/>
        <w:t xml:space="preserve">Kontrolu dodržování ustanovení tohoto zákona upravuje zvláštní zákon</w:t>
      </w:r>
      <w:r>
        <w:rPr>
          <w:vertAlign w:val="superscript"/>
        </w:rPr>
        <w:t xml:space="preserve">2</w:t>
      </w:r>
      <w:r>
        <w:rPr/>
        <w:t xml:space="preserve">).</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k provedení § 6 až 10 a § 13.</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32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č. </w:t>
      </w:r>
      <w:hyperlink r:id="rId9" w:history="1">
        <w:r>
          <w:rPr>
            <w:color w:val="darkblue"/>
            <w:u w:val="single"/>
          </w:rPr>
          <w:t xml:space="preserve">93/76/EHS</w:t>
        </w:r>
      </w:hyperlink>
      <w:r>
        <w:rPr>
          <w:sz w:val="19.200000000000003"/>
          <w:szCs w:val="19.200000000000003"/>
        </w:rPr>
        <w:t xml:space="preserve"> ze dne 13. září 1993 o omezování emisí oxidu uhličitého prostřednictvím zvyšování energetické účinnosti.</w:t>
      </w:r>
    </w:p>
    <w:p>
      <w:pPr>
        <w:ind w:left="560" w:right="0"/>
      </w:pPr>
      <w:r>
        <w:rPr>
          <w:sz w:val="19.200000000000003"/>
          <w:szCs w:val="19.200000000000003"/>
        </w:rPr>
        <w:t xml:space="preserve">Směrnice Evropského parlamentu a rady </w:t>
      </w:r>
      <w:hyperlink r:id="rId10"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pPr>
      <w:r>
        <w:rPr>
          <w:sz w:val="19.200000000000003"/>
          <w:szCs w:val="19.200000000000003"/>
        </w:rPr>
        <w:t xml:space="preserve">Směrnice Evropského parlamentu a rady </w:t>
      </w:r>
      <w:hyperlink r:id="rId11" w:history="1">
        <w:r>
          <w:rPr>
            <w:color w:val="darkblue"/>
            <w:u w:val="single"/>
          </w:rPr>
          <w:t xml:space="preserve">2005/32/ES</w:t>
        </w:r>
      </w:hyperlink>
      <w:r>
        <w:rPr>
          <w:sz w:val="19.200000000000003"/>
          <w:szCs w:val="19.200000000000003"/>
        </w:rPr>
        <w:t xml:space="preserve"> ze dne 6. července 2005 o stanovení rámce pro určení požadavku na ekodesign energetických spotřebičů a o změně směrnic rady </w:t>
      </w:r>
      <w:hyperlink r:id="rId12" w:history="1">
        <w:r>
          <w:rPr>
            <w:color w:val="darkblue"/>
            <w:u w:val="single"/>
          </w:rPr>
          <w:t xml:space="preserve">92/42/EHS</w:t>
        </w:r>
      </w:hyperlink>
      <w:r>
        <w:rPr>
          <w:sz w:val="19.200000000000003"/>
          <w:szCs w:val="19.200000000000003"/>
        </w:rPr>
        <w:t xml:space="preserve"> a Evropského parlamentu a rady </w:t>
      </w:r>
      <w:hyperlink r:id="rId13" w:history="1">
        <w:r>
          <w:rPr>
            <w:color w:val="darkblue"/>
            <w:u w:val="single"/>
          </w:rPr>
          <w:t xml:space="preserve">96/57/ES</w:t>
        </w:r>
      </w:hyperlink>
      <w:r>
        <w:rPr>
          <w:sz w:val="19.200000000000003"/>
          <w:szCs w:val="19.200000000000003"/>
        </w:rPr>
        <w:t xml:space="preserve"> a </w:t>
      </w:r>
      <w:hyperlink r:id="rId14" w:history="1">
        <w:r>
          <w:rPr>
            <w:color w:val="darkblue"/>
            <w:u w:val="single"/>
          </w:rPr>
          <w:t xml:space="preserve">200/55/ES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7"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8"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Vyhláška č. </w:t>
      </w:r>
      <w:hyperlink r:id="rId2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5 odst. 3 písm. e) a f) zákona č. </w:t>
      </w:r>
      <w:hyperlink r:id="rId21"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2"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Vyhláška č. </w:t>
      </w:r>
      <w:hyperlink r:id="rId23"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 5 odst. 3 písm. a), e) a f) zákona č. </w:t>
      </w:r>
      <w:hyperlink r:id="rId21"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2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5"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Vyhláška č. </w:t>
      </w:r>
      <w:hyperlink r:id="rId26" w:history="1">
        <w:r>
          <w:rPr>
            <w:color w:val="darkblue"/>
            <w:u w:val="single"/>
          </w:rPr>
          <w:t xml:space="preserve">152/2001 Sb.</w:t>
        </w:r>
      </w:hyperlink>
      <w:r>
        <w:rPr>
          <w:sz w:val="19.200000000000003"/>
          <w:szCs w:val="19.200000000000003"/>
        </w:rPr>
        <w:t xml:space="preserve">,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7"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28"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29"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30"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1"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Zákon č. </w:t>
      </w:r>
      <w:hyperlink r:id="rId32"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3"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6"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9"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4"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sectPr>
      <w:headerReference w:type="default" r:id="rId35"/>
      <w:footerReference w:type="default" r:id="rId3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223/2009 Sb. z </w:t>
          </w:r>
          <w:r>
            <w:rPr>
              <w:rStyle w:val="bold"/>
            </w:rPr>
            <w:t xml:space="preserve">28. 12. 2009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6s179" TargetMode="External"/><Relationship Id="rId8" Type="http://schemas.openxmlformats.org/officeDocument/2006/relationships/hyperlink" Target="https://esipa.cz/sbirka/sbsrv.dll/sb?DR=SB&amp;CP=2007s393" TargetMode="External"/><Relationship Id="rId9" Type="http://schemas.openxmlformats.org/officeDocument/2006/relationships/hyperlink" Target="https://esipa.cz/sbirka/sbsrv.dll/sb?DR=SB&amp;CP=31993L0076" TargetMode="External"/><Relationship Id="rId10" Type="http://schemas.openxmlformats.org/officeDocument/2006/relationships/hyperlink" Target="https://esipa.cz/sbirka/sbsrv.dll/sb?DR=SB&amp;CP=32002L0091" TargetMode="External"/><Relationship Id="rId11" Type="http://schemas.openxmlformats.org/officeDocument/2006/relationships/hyperlink" Target="https://esipa.cz/sbirka/sbsrv.dll/sb?DR=SB&amp;CP=32005L0032" TargetMode="External"/><Relationship Id="rId12" Type="http://schemas.openxmlformats.org/officeDocument/2006/relationships/hyperlink" Target="https://esipa.cz/sbirka/sbsrv.dll/sb?DR=SB&amp;CP=31992L0042" TargetMode="External"/><Relationship Id="rId13" Type="http://schemas.openxmlformats.org/officeDocument/2006/relationships/hyperlink" Target="https://esipa.cz/sbirka/sbsrv.dll/sb?DR=SB&amp;CP=31996L0057" TargetMode="External"/><Relationship Id="rId14" Type="http://schemas.openxmlformats.org/officeDocument/2006/relationships/hyperlink" Target="https://esipa.cz/sbirka/sbsrv.dll/sb?DR=SB&amp;CP=32000L0055" TargetMode="External"/><Relationship Id="rId15" Type="http://schemas.openxmlformats.org/officeDocument/2006/relationships/hyperlink" Target="https://esipa.cz/sbirka/sbsrv.dll/sb?DR=SB&amp;CP=2001s185" TargetMode="External"/><Relationship Id="rId16" Type="http://schemas.openxmlformats.org/officeDocument/2006/relationships/hyperlink" Target="https://esipa.cz/sbirka/sbsrv.dll/sb?DR=SB&amp;CP=2000s458" TargetMode="External"/><Relationship Id="rId17" Type="http://schemas.openxmlformats.org/officeDocument/2006/relationships/hyperlink" Target="https://esipa.cz/sbirka/sbsrv.dll/sb?DR=SB&amp;CP=2001s195" TargetMode="External"/><Relationship Id="rId18" Type="http://schemas.openxmlformats.org/officeDocument/2006/relationships/hyperlink" Target="https://esipa.cz/sbirka/sbsrv.dll/sb?DR=SB&amp;CP=1992s017" TargetMode="External"/><Relationship Id="rId19" Type="http://schemas.openxmlformats.org/officeDocument/2006/relationships/hyperlink" Target="https://esipa.cz/sbirka/sbsrv.dll/sb?DR=SB&amp;CP=1976s050" TargetMode="External"/><Relationship Id="rId20" Type="http://schemas.openxmlformats.org/officeDocument/2006/relationships/hyperlink" Target="https://esipa.cz/sbirka/sbsrv.dll/sb?DR=SB&amp;CP=2001s150" TargetMode="External"/><Relationship Id="rId21" Type="http://schemas.openxmlformats.org/officeDocument/2006/relationships/hyperlink" Target="https://esipa.cz/sbirka/sbsrv.dll/sb?DR=SB&amp;CP=1992s360" TargetMode="External"/><Relationship Id="rId22" Type="http://schemas.openxmlformats.org/officeDocument/2006/relationships/hyperlink" Target="https://esipa.cz/sbirka/sbsrv.dll/sb?DR=SB&amp;CP=1994s072" TargetMode="External"/><Relationship Id="rId23" Type="http://schemas.openxmlformats.org/officeDocument/2006/relationships/hyperlink" Target="https://esipa.cz/sbirka/sbsrv.dll/sb?DR=SB&amp;CP=1998s137" TargetMode="External"/><Relationship Id="rId24" Type="http://schemas.openxmlformats.org/officeDocument/2006/relationships/hyperlink" Target="https://esipa.cz/sbirka/sbsrv.dll/sb?DR=SB&amp;CP=1987s020" TargetMode="External"/><Relationship Id="rId25" Type="http://schemas.openxmlformats.org/officeDocument/2006/relationships/hyperlink" Target="https://esipa.cz/sbirka/sbsrv.dll/sb?DR=SB&amp;CP=2001s291" TargetMode="External"/><Relationship Id="rId26" Type="http://schemas.openxmlformats.org/officeDocument/2006/relationships/hyperlink" Target="https://esipa.cz/sbirka/sbsrv.dll/sb?DR=SB&amp;CP=2001s152" TargetMode="External"/><Relationship Id="rId27" Type="http://schemas.openxmlformats.org/officeDocument/2006/relationships/hyperlink" Target="https://esipa.cz/sbirka/sbsrv.dll/sb?DR=SB&amp;CP=2004s442" TargetMode="External"/><Relationship Id="rId28" Type="http://schemas.openxmlformats.org/officeDocument/2006/relationships/hyperlink" Target="https://esipa.cz/sbirka/sbsrv.dll/sb?DR=SB&amp;CP=1997s022" TargetMode="External"/><Relationship Id="rId29" Type="http://schemas.openxmlformats.org/officeDocument/2006/relationships/hyperlink" Target="https://esipa.cz/sbirka/sbsrv.dll/sb?DR=SB&amp;CP=2000s291" TargetMode="External"/><Relationship Id="rId30" Type="http://schemas.openxmlformats.org/officeDocument/2006/relationships/hyperlink" Target="https://esipa.cz/sbirka/sbsrv.dll/sb?DR=SB&amp;CP=32000R1980" TargetMode="External"/><Relationship Id="rId31" Type="http://schemas.openxmlformats.org/officeDocument/2006/relationships/hyperlink" Target="https://esipa.cz/sbirka/sbsrv.dll/sb?DR=SB&amp;CP=2001s213" TargetMode="External"/><Relationship Id="rId32" Type="http://schemas.openxmlformats.org/officeDocument/2006/relationships/hyperlink" Target="https://esipa.cz/sbirka/sbsrv.dll/sb?DR=SB&amp;CP=2004s018" TargetMode="External"/><Relationship Id="rId33" Type="http://schemas.openxmlformats.org/officeDocument/2006/relationships/hyperlink" Target="https://esipa.cz/sbirka/sbsrv.dll/sb?DR=SB&amp;CP=1994s269" TargetMode="External"/><Relationship Id="rId34" Type="http://schemas.openxmlformats.org/officeDocument/2006/relationships/hyperlink" Target="https://esipa.cz/sbirka/sbsrv.dll/sb?DR=SB&amp;CP=1967s071" TargetMode="External"/><Relationship Id="rId35" Type="http://schemas.openxmlformats.org/officeDocument/2006/relationships/header" Target="header1.xml"/><Relationship Id="rId3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223/2009 Sb. z 28. 12. 2009</dc:title>
  <dc:description>Zákon o hospodaření energií</dc:description>
  <dc:subject/>
  <cp:keywords/>
  <cp:category/>
  <cp:lastModifiedBy/>
  <dcterms:created xsi:type="dcterms:W3CDTF">2009-12-28T00:00:00+01:00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