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ohrozit zdraví nebo bezpečnost osob, majetek nebo přírodní prostředí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výrobky, které by mohly ohrozit oprávněný zájem,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v České republice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pokud to nařízení vlády nevylučuje.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výrobcem osoba, která vyrábí nebo i jen navrhla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dovozcem ten, kdo uvede na trh výrobek z jiného státu nebo uvedení takového výrobku na trh zprostředkuje,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distributorem ten, kdo výrobky prodává, jejich prodej zprostředkovává nebo jiným způsobem je poskytuje uživatelům, i když svou činností vlastnosti výrobků přímo neovlivňuje (dále jen „distribuuje“),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nebo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např. podmínky používání, recyklace, opětovného použití nebo zneškodnění výrobku, pokud takové podmínky mohou významně ovlivnit složení nebo povahu výrobku nebo jeho uvedení na trh.</w:t>
      </w:r>
    </w:p>
    <w:p>
      <w:pPr>
        <w:pStyle w:val="Heading2"/>
      </w:pPr>
      <w:r>
        <w:rPr>
          <w:b/>
          <w:bCs/>
        </w:rPr>
        <w:t xml:space="preserve">Hlava II</w:t>
      </w:r>
      <w:r>
        <w:rPr>
          <w:rStyle w:val="hidden"/>
        </w:rPr>
        <w:t xml:space="preserve"> -</w:t>
      </w:r>
      <w:br/>
      <w:r>
        <w:rPr>
          <w:caps/>
        </w:rPr>
        <w:t xml:space="preserve">Technické předpisy, normy a povinnosti výrobců dovozců a distributorů</w:t>
      </w:r>
    </w:p>
    <w:p>
      <w:pPr>
        <w:pStyle w:val="Heading3"/>
      </w:pPr>
      <w:r>
        <w:rPr>
          <w:b/>
          <w:bCs/>
        </w:rPr>
        <w:t xml:space="preserve">§ 3</w:t>
      </w:r>
      <w:r>
        <w:rPr>
          <w:rStyle w:val="hidden"/>
        </w:rPr>
        <w:t xml:space="preserve"> -</w:t>
      </w:r>
      <w:br/>
      <w:r>
        <w:rPr/>
        <w:t xml:space="preserve">Technické předpisy</w:t>
      </w:r>
    </w:p>
    <w:p>
      <w:pPr>
        <w:ind w:left="0" w:right="0"/>
      </w:pPr>
      <w:r>
        <w:rPr/>
        <w:t xml:space="preserve">Technickým předpisem pro účely tohoto zákona je právní předpis, vyhlášený uveřejněním jeho plného znění ve Sbírce zákonů, obsahující technické požadavky na výrobky, popřípadě pravidla pro služby nebo upravující povinnosti při uvádění výrobku na trh, při jeho používání nebo při poskytování nebo zřizování služby nebo zakazující výrobu, dovoz, prodej či používání určitého výrobku nebo používání, poskytování nebo zřizování služby.</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(dále jen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Normy a dokumenty pro posuzování shody</w:t>
      </w:r>
    </w:p>
    <w:p>
      <w:pPr>
        <w:ind w:left="0" w:right="0"/>
      </w:pPr>
      <w:r>
        <w:rPr>
          <w:b/>
          <w:bCs/>
        </w:rPr>
        <w:t xml:space="preserve">(1)</w:t>
      </w:r>
      <w:r>
        <w:rPr/>
        <w:t xml:space="preserve"> Norma se stává harmonizovanou normou, přejímá-li plně požadavky stanovené harmonizovanou evropskou normou. Jestliže je to nezbytné pro splnění technických požadavků na výrobky, vyplývajících z nařízení vlády vydaného podle tohoto zákona, může Úřad pro technickou normalizaci, metrologii a státní zkušebnictví (dále jen „Úřad“) určit pro posuzování shody další normy nebo technické dokumenty mezinárodních organizací, obsahující technické požadavky, jejichž vydání bylo oznámeno ve Věstníku Úřadu, (dále jen „určené normy“).</w:t>
      </w:r>
    </w:p>
    <w:p>
      <w:pPr>
        <w:ind w:left="0" w:right="0"/>
      </w:pPr>
      <w:r>
        <w:rPr>
          <w:b/>
          <w:bCs/>
        </w:rPr>
        <w:t xml:space="preserve">(2)</w:t>
      </w:r>
      <w:r>
        <w:rPr/>
        <w:t xml:space="preserve"> Úřad oznamuje ve Věstníku Úřadu harmonizované normy a harmonizované evropské normy, jejich změny nebo zrušení a určené normy, jejich změny nebo zrušení. Současně uvede technický předpis, k němuž se tyto normy vztahují.</w:t>
      </w:r>
    </w:p>
    <w:p>
      <w:pPr>
        <w:ind w:left="0" w:right="0"/>
      </w:pPr>
      <w:r>
        <w:rPr>
          <w:b/>
          <w:bCs/>
        </w:rPr>
        <w:t xml:space="preserve">(3)</w:t>
      </w:r>
      <w:r>
        <w:rPr/>
        <w:t xml:space="preserve"> Splnění harmonizované normy nebo určené normy a v případech vyplývajících z mezinárodní smlouvy též splnění zahraniční technické normy přejímající harmonizovanou evropskou normu se v rozsahu jejího obsahu považuje za splnění požadavků stanovených nařízením vlády, k němuž se tyto normy vztahují.</w:t>
      </w:r>
    </w:p>
    <w:p>
      <w:pPr>
        <w:pStyle w:val="Heading3"/>
      </w:pPr>
      <w:r>
        <w:rPr>
          <w:b/>
          <w:bCs/>
        </w:rPr>
        <w:t xml:space="preserve">§ 5</w:t>
      </w:r>
      <w:r>
        <w:rPr>
          <w:rStyle w:val="hidden"/>
        </w:rPr>
        <w:t xml:space="preserve"> -</w:t>
      </w:r>
      <w:br/>
      <w:r>
        <w:rPr/>
        <w:t xml:space="preserve">Zabezpečení tvorby norem</w:t>
      </w:r>
    </w:p>
    <w:p>
      <w:pPr>
        <w:ind w:left="0" w:right="0"/>
      </w:pPr>
      <w:r>
        <w:rPr>
          <w:b/>
          <w:bCs/>
        </w:rPr>
        <w:t xml:space="preserve">(1)</w:t>
      </w:r>
      <w:r>
        <w:rPr/>
        <w:t xml:space="preserve"> Tvorbu a vydávání norem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norem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norem zabezpečeny pověřenou právnickou osobou, zabezpečuje plnění jejích úkolů Úřad.</w:t>
      </w:r>
    </w:p>
    <w:p>
      <w:pPr>
        <w:ind w:left="0" w:right="0"/>
      </w:pPr>
      <w:r>
        <w:rPr>
          <w:b/>
          <w:bCs/>
        </w:rPr>
        <w:t xml:space="preserve">(7)</w:t>
      </w:r>
      <w:r>
        <w:rPr/>
        <w:t xml:space="preserve"> Náklady na tvorbu norem hradí ten, kdo požaduje jejich zpracování. Náklady na tvorbu norem, především harmonizovaných norem,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Normy vydané na jakémkoliv nosiči smějí být rozmnožovány a rozšiřovány jen se souhlasem právnické osoby pověřené jejich tvorbou a vydáváním nebo za podmínek stanovených v odstavci 6 se souhlasem Úřadu.</w:t>
      </w:r>
    </w:p>
    <w:p>
      <w:pPr>
        <w:pStyle w:val="Heading3"/>
      </w:pPr>
      <w:r>
        <w:rPr>
          <w:b/>
          <w:bCs/>
        </w:rPr>
        <w:t xml:space="preserve">§ 6</w:t>
      </w:r>
      <w:r>
        <w:rPr>
          <w:rStyle w:val="hidden"/>
        </w:rPr>
        <w:t xml:space="preserve"> -</w:t>
      </w:r>
      <w:br/>
      <w:r>
        <w:rPr/>
        <w:t xml:space="preserve">Podmínky tvorby a vydávání norem</w:t>
      </w:r>
    </w:p>
    <w:p>
      <w:pPr>
        <w:ind w:left="0" w:right="0"/>
      </w:pPr>
      <w:r>
        <w:rPr/>
        <w:t xml:space="preserve">Při tvorbě a vydávání norem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norem a vydaných normách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normy s každým, kdo se ve lhůtě stanovené ve zveřejněném oznámení o zahájení zpracování návrhu normy přihlásí u osoby uvedené v tomto oznámení, nebo s každým, kdo zašle své stanovisko ke zveřejněnému návrhu normy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řádná distribuce vydaných norem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Informaci o návrhu technického předpisu, jeho změny nebo doplnění zasílaného k zaujetí stanoviska ministerstvům, jiným ústředním správním úřadům a České národní bance, k němuž se vztahuje informační povinnost vyplývající z mezinárodních smluv, předávají ministerstva, jiné ústřední správní úřady a Česká národní banka Úřadu. Obdobně postupuje vláda, pokud se vyjadřuje k návrhům zákonů, jejich změn nebo doplnění, jedná-li se o návrhy technických předpisů.</w:t>
      </w:r>
    </w:p>
    <w:p>
      <w:pPr>
        <w:ind w:left="0" w:right="0"/>
      </w:pPr>
      <w:r>
        <w:rPr>
          <w:b/>
          <w:bCs/>
        </w:rPr>
        <w:t xml:space="preserve">(2)</w:t>
      </w:r>
      <w:r>
        <w:rPr/>
        <w:t xml:space="preserve"> Pokud tak stanoví mezinárodní smlouva, nesmí být návrh technického předpisu předložen ke schválení před uplynutím jí stanovené lhůty pro podání připomínek.</w:t>
      </w:r>
    </w:p>
    <w:p>
      <w:pPr>
        <w:ind w:left="0" w:right="0"/>
      </w:pPr>
      <w:r>
        <w:rPr>
          <w:b/>
          <w:bCs/>
        </w:rPr>
        <w:t xml:space="preserve">(3)</w:t>
      </w:r>
      <w:r>
        <w:rPr/>
        <w:t xml:space="preserve"> Úřad jako informační místo zabezpečuje v rozsahu stanoveném mezinárodními smlouvami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o návrzích technických předpisů, norem a postupů pro posuzování shody do zahraničí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obdobných zahraničních návrzích uveřejněním ve Věstníku Úřadu.</w:t>
      </w:r>
    </w:p>
    <w:p>
      <w:pPr>
        <w:ind w:left="0" w:right="0"/>
      </w:pPr>
      <w:r>
        <w:rPr>
          <w:b/>
          <w:bCs/>
        </w:rPr>
        <w:t xml:space="preserve">(4)</w:t>
      </w:r>
      <w:r>
        <w:rPr/>
        <w:t xml:space="preserve"> Vláda nařízením upraví postup při poskytování informací v oblasti technických předpisů a norem.</w:t>
      </w:r>
    </w:p>
    <w:p>
      <w:pPr>
        <w:ind w:left="0" w:right="0"/>
      </w:pPr>
      <w:r>
        <w:rPr>
          <w:b/>
          <w:bCs/>
        </w:rPr>
        <w:t xml:space="preserve">(5)</w:t>
      </w:r>
      <w:r>
        <w:rPr/>
        <w:t xml:space="preserve"> Úřad oznamuje orgánům Evropských společenství nebo příslušným orgánům států, s kterými o tom jsou uzavřeny mezinárodní smlouvy, v rozsahu z těchto smluv vyplývajícím,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o tom, že bylo zjištěno, že ustanovení harmonizované evropské normy neodpovídá základním požadavkům uvedeným v technických předpisech vydaných orgány Evropských společenství, popřípadě jiné skutečnosti týkající se norem,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autorizované osoby (§ 11) pověřené k plnění úkolů notifikovaných osob působících v rámci Evropské unie.</w:t>
      </w:r>
    </w:p>
    <w:p>
      <w:pPr>
        <w:ind w:left="0" w:right="0"/>
      </w:pPr>
      <w:r>
        <w:rPr>
          <w:b/>
          <w:bCs/>
        </w:rPr>
        <w:t xml:space="preserve">(6)</w:t>
      </w:r>
      <w:r>
        <w:rPr/>
        <w:t xml:space="preserve"> Ministerstvo oznamuje orgánům Evropských společenství nebo příslušným orgánům států, s kterými o tom jsou uzavřeny mezinárodní smlouvy, v rozsahu z těchto smluv vyplývajícím, rozhodnutí o uložení ochranného opatření</w:t>
      </w:r>
      <w:r>
        <w:rPr>
          <w:vertAlign w:val="superscript"/>
        </w:rPr>
        <w:t xml:space="preserve">1</w:t>
      </w:r>
      <w:r>
        <w:rPr/>
        <w:t xml:space="preserve">)</w:t>
      </w:r>
      <w:r>
        <w:rPr/>
        <w:t xml:space="preserve"> u stanovených výrobků (§ 12) včetně těch, které mají původ ve státech, s nimiž je sjednána příslušná mezinárodní smlouva.</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shody s požadavky technických předpisů.</w:t>
      </w:r>
    </w:p>
    <w:p>
      <w:pPr>
        <w:pStyle w:val="Heading3"/>
      </w:pPr>
      <w:r>
        <w:rPr>
          <w:b/>
          <w:bCs/>
        </w:rPr>
        <w:t xml:space="preserve">§ 10</w:t>
      </w:r>
      <w:r>
        <w:rPr>
          <w:rStyle w:val="hidden"/>
        </w:rPr>
        <w:t xml:space="preserve"> -</w:t>
      </w:r>
      <w:br/>
      <w:r>
        <w:rPr/>
        <w:t xml:space="preserve">Certifikace</w:t>
      </w:r>
    </w:p>
    <w:p>
      <w:pPr>
        <w:ind w:left="0" w:right="0"/>
      </w:pPr>
      <w:r>
        <w:rPr/>
        <w:t xml:space="preserve">Certifikace podle tohoto zákona je činnost nezávislé autorizované nebo akreditované osoby, která vydáním certifikátu osvědčí, že výrobek nebo činnosti s výrobou související jsou v souladu s technickými požadavky na výrobky. Tyto certifikáty lze využít při posuzování shody podle § 13 odst. 1.</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a vymezených v technických předpisech (dále jen „autorizovaná osoba“). Autorizaci pro činnost podle tohoto zákona uděluje ve věcně vymezeném rozsahu Úřad rozhodnutím na základě žádosti, která musí být doložena doklady o plnění podmínek autorizace stanovených tímto zákonem a nařízeními vlády vydanými k jeho provedení, a to po dohodě s ministerstvy a jinými ústředními správními úřady, jejichž působnosti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stanovené nařízením vlády vydaným k provedení zákona. Pokud nařízení vlády tyto podmínky nestanoví, může Úřad vydat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Autorizovaná osoba je povinna neprodleně po doručení rozhodnutí o autorizaci uzavřít smlouvu o pojištění odpovědnosti za škodu. Nejpozději do 30dnů od doručení rozhodnutí o autorizaci předloží autorizovaná osoba doklad o pojištění Úřadu, jinak její autorizace zaniká.</w:t>
      </w:r>
    </w:p>
    <w:p>
      <w:pPr>
        <w:ind w:left="0" w:right="0"/>
      </w:pPr>
      <w:r>
        <w:rPr>
          <w:b/>
          <w:bCs/>
        </w:rPr>
        <w:t xml:space="preserve">(4)</w:t>
      </w:r>
      <w:r>
        <w:rPr/>
        <w:t xml:space="preserve"> Úřad kontroluje, zda autorizované osoby dodržují ustanovení tohoto zákona a nařízení vlády vydaných k jeho provedení a podmínky uvedené v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po projednání se zúčastněnými ministerstvy a jinými ústředními správními úřady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Není-li pro posouzení shody stanoveného výrobku určena autorizovaná osoba, zabezpečí posouzení shody Úřad.</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v rozsahu vymezeném v rozhodnutí o autorizaci činnosti při posuzování shody výrobků, zahrnující i posuzování činností souvisejících s jejich výrobou a vymezených v technických předpisech, s požadavky technických předpisů.</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 vydanými k provedení tohoto zákona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nebo jiným autorizovaným osobám a v případech stanovených pro plnění mezinárodní smlouvy též zahraničním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pokud autorizovaná osoba zjistí při výkonu své činnosti, že výrobek může ohrozit nebo ohrožuje oprávněný zájem, ohlásí to neprodleně orgánu dozoru.</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w:t>
      </w:r>
    </w:p>
    <w:p>
      <w:pPr>
        <w:pStyle w:val="Heading3"/>
      </w:pPr>
      <w:r>
        <w:rPr>
          <w:b/>
          <w:bCs/>
        </w:rPr>
        <w:t xml:space="preserve">§ 12</w:t>
      </w:r>
      <w:r>
        <w:rPr>
          <w:rStyle w:val="hidden"/>
        </w:rPr>
        <w:t xml:space="preserve"> -</w:t>
      </w:r>
      <w:br/>
      <w:r>
        <w:rPr/>
        <w:t xml:space="preserve">Posuzování shody výrobků</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jejich vlastností s požadavky technických předpisů (dále jen „stanovené výrobky“); ministerstva a jiné ústřední správní úřady mohou výjimečně a ve veřejném zájmu, například pro odstraňování důsledků havárií nebo živelních pohrom, rozhodnout, že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výrobky, které musí výrobky splňovat,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musí být při uvádění na trh označeny českou značkou shody nebo jinou nařízením vlády stanovenou značkou, pokud to vyplývá z mezinárodní smlouvy, kterou je Česká republika vázána,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Českou značku shody, která vyjadřuje, že stanovený výrobek odpovídá stanoveným požadavkům a že při posuzování shody byly dodrženy podmínky stanovené tímto zákonem, tvoří písmena CCZ. Vláda nařízením upraví grafickou podobu české značky shody, její provedení a umístění na výrobku, jeho obalu nebo v průvodní dokumentaci.</w:t>
      </w:r>
    </w:p>
    <w:p>
      <w:pPr>
        <w:ind w:left="0" w:right="0"/>
      </w:pPr>
      <w:r>
        <w:rPr>
          <w:b/>
          <w:bCs/>
        </w:rPr>
        <w:t xml:space="preserve">(4)</w:t>
      </w:r>
      <w:r>
        <w:rPr/>
        <w:t xml:space="preserve"> Vláda upraví nařízením pro jednotlivé skupiny stanovených výrobků, v závislosti na jejich technické složitosti a míře možného nebezpečí spojeného s jejich užíváním, podmínky pro uvádění výrobků na trh,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(5)</w:t>
      </w:r>
      <w:r>
        <w:rPr/>
        <w:t xml:space="preserve"> Náklady spojené s činností autorizované osoby při posuzování shody nese výrobce nebo dovozce. Cena za tyto výkony se sjednává podle zvláštního předpisu.</w:t>
      </w:r>
      <w:r>
        <w:rPr>
          <w:vertAlign w:val="superscript"/>
        </w:rPr>
        <w:t xml:space="preserve">2</w:t>
      </w:r>
      <w:r>
        <w:rPr/>
        <w:t xml:space="preserve">)</w:t>
      </w:r>
    </w:p>
    <w:p>
      <w:pPr>
        <w:pStyle w:val="Heading3"/>
      </w:pPr>
      <w:r>
        <w:rPr>
          <w:b/>
          <w:bCs/>
        </w:rPr>
        <w:t xml:space="preserve">§ 13</w:t>
      </w:r>
      <w:r>
        <w:rPr>
          <w:rStyle w:val="hidden"/>
        </w:rPr>
        <w:t xml:space="preserve"> -</w:t>
      </w:r>
      <w:br/>
      <w:r>
        <w:rPr/>
        <w:t xml:space="preserve">Prohlášení o shodě</w:t>
      </w:r>
    </w:p>
    <w:p>
      <w:pPr>
        <w:ind w:left="0" w:right="0"/>
      </w:pPr>
      <w:r>
        <w:rPr>
          <w:b/>
          <w:bCs/>
        </w:rPr>
        <w:t xml:space="preserve">(1)</w:t>
      </w:r>
      <w:r>
        <w:rPr/>
        <w:t xml:space="preserve"> Stanovené výrobky mohou výrobci nebo dovozci uvést na trh jen po posouzení shody jejich vlastností s požadavky na bezpečnost výrobků stanovenými tímto zákonem a technickými předpisy (dále jen „posouzení shody“) způsobem odpovídajícím stanoveným postupům posuzování shody.</w:t>
      </w:r>
    </w:p>
    <w:p>
      <w:pPr>
        <w:ind w:left="0" w:right="0"/>
      </w:pPr>
      <w:r>
        <w:rPr>
          <w:b/>
          <w:bCs/>
        </w:rPr>
        <w:t xml:space="preserve">(2)</w:t>
      </w:r>
      <w:r>
        <w:rPr/>
        <w:t xml:space="preserve"> Výrobce nebo dovozce stanoveného výrobku je povinen před uvedením výrobku na trh vydat písemné prohlášení o shodě výrobku s technickými předpisy a o dodržení stanoveného postupu posouzení shody (dále jen „prohlášení o shodě“). Náležitosti prohlášení o shodě stanoví vláda nařízením.</w:t>
      </w:r>
    </w:p>
    <w:p>
      <w:pPr>
        <w:ind w:left="0" w:right="0"/>
      </w:pPr>
      <w:r>
        <w:rPr>
          <w:b/>
          <w:bCs/>
        </w:rPr>
        <w:t xml:space="preserve">(3)</w:t>
      </w:r>
      <w:r>
        <w:rPr/>
        <w:t xml:space="preserve"> Výrobce nebo dovozce je oprávněn označit stanovený výrobek, o kterém bylo vydáno prohlášení o shodě, českou značkou shody. Pokud je to stanoveno nařízením vlády vymezujícím stanovené výrobky, je výrobce nebo dovozce povinen každý výrobek označit českou značkou shody. Jestliže je posuzování shody vázáno na posouzení autorizovanou osobou, připojuje se její identifikační číslo k české značce shody.</w:t>
      </w:r>
    </w:p>
    <w:p>
      <w:pPr>
        <w:ind w:left="0" w:right="0"/>
      </w:pPr>
      <w:r>
        <w:rPr>
          <w:b/>
          <w:bCs/>
        </w:rPr>
        <w:t xml:space="preserve">(4)</w:t>
      </w:r>
      <w:r>
        <w:rPr/>
        <w:t xml:space="preserve"> Vláda nařízeními vydanými podle § 12 odst. 1 stanoví, kdy lze, popřípadě kdy je nutno pro splnění mezinárodní smlouvy namísto vydání prohlášení o shodě u výrobků majících původ v České republice nebo ve státech, s nimiž je sjednána příslušná mezinárodní smlouva, umístit označení CE, popřípadě jiné, nařízením vlády stanovené označení, na každém výrobku. V případech stanovených nařízeními vlády lze označení CE, popřípadě jiné označení použít jen za podmínek v nařízení stanovených.</w:t>
      </w:r>
    </w:p>
    <w:p>
      <w:pPr>
        <w:ind w:left="0" w:right="0"/>
      </w:pPr>
      <w:r>
        <w:rPr>
          <w:b/>
          <w:bCs/>
        </w:rPr>
        <w:t xml:space="preserve">(5)</w:t>
      </w:r>
      <w:r>
        <w:rPr/>
        <w:t xml:space="preserve"> Povinnost dovozce vydat prohlášení o shodě podle odstavce 2 nebo postupovat podle odstavce 4 se nevztahuje na výrobky mající původ ve státech, s nimiž je sjednána příslušná mezinárodní smlouva, pokud při dovozu splňují ustanovení odstavce 4.</w:t>
      </w:r>
    </w:p>
    <w:p>
      <w:pPr>
        <w:ind w:left="0" w:right="0"/>
      </w:pPr>
      <w:r>
        <w:rPr>
          <w:b/>
          <w:bCs/>
        </w:rPr>
        <w:t xml:space="preserve">(6)</w:t>
      </w:r>
      <w:r>
        <w:rPr/>
        <w:t xml:space="preserve"> Vláda nařízením stanoví grafickou podobu označení CE nebo jiného stanoveného označení, jejich provedení a umístění na výrobku, jeho obalu nebo i v průvodní dokumentaci. Označení CE lze umístit na výrobek, pouze pokud výrobek splňuje požadavky všech technických předpisů, v nichž je stanovena povinnost nebo možnost umístit na výrobek označení CE. Pokud je na výrobku označení CE nebo jiné stanovené označení, nesmí být výrobek souběžně označen českou značkou shody ani značkou, která by svým významem nebo podobou mohla vést k záměně s označením CE nebo s jiným stanoveným označením.</w:t>
      </w:r>
    </w:p>
    <w:p>
      <w:pPr>
        <w:ind w:left="0" w:right="0"/>
      </w:pPr>
      <w:r>
        <w:rPr>
          <w:b/>
          <w:bCs/>
        </w:rPr>
        <w:t xml:space="preserve">(7)</w:t>
      </w:r>
      <w:r>
        <w:rPr/>
        <w:t xml:space="preserve"> Pokud tak stanoví vláda nařízením, je výrobce nebo dovozce nebo jiná osoba stanovená nařízením vlády povinna poskytovat na základě žádosti kopie certifikátů nebo jiných dokumentů včetně souvisejících dokladů Úřadu nebo jiným autorizovaným osobám a v případech stanovených pro splnění mezinárodní smlouvy též zahraničním osobám.</w:t>
      </w:r>
    </w:p>
    <w:p>
      <w:pPr>
        <w:ind w:left="0" w:right="0"/>
      </w:pPr>
      <w:r>
        <w:rPr>
          <w:b/>
          <w:bCs/>
        </w:rPr>
        <w:t xml:space="preserve">(8)</w:t>
      </w:r>
      <w:r>
        <w:rPr/>
        <w:t xml:space="preserve"> Doklady o použitém způsobu posouzení shody a prohlášení o shodě a podklady k němu v rozsahu stanoveném nařízeními vlády je výrobce nebo dovozce povinen uchovat na území České republiky a kdykoliv poskytnout na vyžádání orgánu dozoru do deseti let od ukončení výroby, dovozu nebo uvedení na trh. Tato doba může být nařízením vlády upravujícím stanovené výrobky určena odchylně. U dovážených výrobků označených v případech stanovených v odstavci 4 označením CE nebo jiným označením stanoveným v nařízeních vlády nemá dovozce povinnost doklady o použitém způsobu posouzení shody uchovávat na území České republiky, je však povinen zajistit jejich předložení orgánu dozoru na jeho žádost odůvodněnou podezřením na nebezpečí vážného ohrožení oprávněného zájmu a v jím stanovené přiměřené lhůtě, a to v jazyce stanoveném nařízením vlády.</w:t>
      </w:r>
    </w:p>
    <w:p>
      <w:pPr>
        <w:ind w:left="0" w:right="0"/>
      </w:pPr>
      <w:r>
        <w:rPr>
          <w:b/>
          <w:bCs/>
        </w:rPr>
        <w:t xml:space="preserve">(9)</w:t>
      </w:r>
      <w:r>
        <w:rPr/>
        <w:t xml:space="preserve"> Distributor nesmí, s výjimkou výrobků označených CE nebo jiným označením stanoveným v nařízeních vlády ve smyslu odstavce 4, u kterých prokáže, že mají původ ve státech, s nimiž je sjednána příslušná mezinárodní smlouva ve smyslu odstavce 4 distribuovat stanovené výrobky, u kterých nemá písemné ujištění o tom, že výrobce nebo dovozce vydal prohlášení o shodě. Toto písemné ujištění je distributor povinen každému na jeho žádost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ihned na místě k nahlédnutí,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náklady žadatele nejdéle do 20 dnů vydat distributorem potvrzenou kopii.</w:t>
      </w:r>
    </w:p>
    <w:p>
      <w:pPr>
        <w:ind w:left="0" w:right="0"/>
      </w:pPr>
      <w:r>
        <w:rPr>
          <w:b/>
          <w:bCs/>
        </w:rPr>
        <w:t xml:space="preserve">(10)</w:t>
      </w:r>
      <w:r>
        <w:rPr/>
        <w:t xml:space="preserve"> Prohlášení o shodě nezbavuje výrobce a dovozce odpovědnosti za vady výrobků ani za škody jimi způsobené.</w:t>
      </w:r>
    </w:p>
    <w:p>
      <w:pPr>
        <w:ind w:left="0" w:right="0"/>
      </w:pPr>
      <w:r>
        <w:rPr>
          <w:b/>
          <w:bCs/>
        </w:rPr>
        <w:t xml:space="preserve">(11)</w:t>
      </w:r>
      <w:r>
        <w:rPr/>
        <w:t xml:space="preserve"> Povinnosti výrobce nebo dovozce uvedené v § 13, jejichž podrobnosti stanoví nařízení vlády, může plnit též osoba zplnomocněná výrobcem nebo dovozcem. Pokud tyto osoby uvedené povinnosti neplní, je povinna zajistit jejich plnění osoba, která jako poslední uvádí stanovený výrobek na trh.</w:t>
      </w:r>
    </w:p>
    <w:p>
      <w:pPr>
        <w:pStyle w:val="Heading3"/>
      </w:pPr>
      <w:r>
        <w:rPr>
          <w:b/>
          <w:bCs/>
        </w:rPr>
        <w:t xml:space="preserve">§ 14</w:t>
      </w:r>
      <w:r>
        <w:rPr>
          <w:rStyle w:val="hidden"/>
        </w:rPr>
        <w:t xml:space="preserve"> -</w:t>
      </w:r>
      <w:br/>
      <w:r>
        <w:rPr/>
        <w:t xml:space="preserve">Akreditace</w:t>
      </w:r>
    </w:p>
    <w:p>
      <w:pPr>
        <w:ind w:left="0" w:right="0"/>
      </w:pPr>
      <w:r>
        <w:rPr>
          <w:b/>
          <w:bCs/>
        </w:rPr>
        <w:t xml:space="preserve">(1)</w:t>
      </w:r>
      <w:r>
        <w:rPr/>
        <w:t xml:space="preserve"> Akreditací se pro účely tohoto zákona rozumí postup, zahájený na žádost právnické osoby nebo fyzické osoby, která je podnikatelem, na jehož základě se vydává osvědčení o tom, že je způsobilá ve vymezeném rozsahu provádět zkoušky výrobků, kalibraci měřidel a certifikační nebo jinou obdobnou technickou činnost.</w:t>
      </w:r>
    </w:p>
    <w:p>
      <w:pPr>
        <w:ind w:left="0" w:right="0"/>
      </w:pPr>
      <w:r>
        <w:rPr>
          <w:b/>
          <w:bCs/>
        </w:rPr>
        <w:t xml:space="preserve">(2)</w:t>
      </w:r>
      <w:r>
        <w:rPr/>
        <w:t xml:space="preserve"> Náklady spojené s akreditací hradí žadatel o akreditaci. Cena se sjednává podle zvláštního předpisu.</w:t>
      </w:r>
      <w:r>
        <w:rPr>
          <w:vertAlign w:val="superscript"/>
        </w:rPr>
        <w:t xml:space="preserve">2</w:t>
      </w:r>
      <w:r>
        <w:rPr/>
        <w:t xml:space="preserve">)</w:t>
      </w:r>
    </w:p>
    <w:p>
      <w:pPr>
        <w:ind w:left="0" w:right="0"/>
      </w:pPr>
      <w:r>
        <w:rPr>
          <w:b/>
          <w:bCs/>
        </w:rPr>
        <w:t xml:space="preserve">(3)</w:t>
      </w:r>
      <w:r>
        <w:rPr/>
        <w:t xml:space="preserve"> Provádění akreditace v rozsahu vymezeném tímto zákonem zaručuje stát.</w:t>
      </w:r>
    </w:p>
    <w:p>
      <w:pPr>
        <w:pStyle w:val="Heading3"/>
      </w:pPr>
      <w:r>
        <w:rPr>
          <w:b/>
          <w:bCs/>
        </w:rPr>
        <w:t xml:space="preserve">§ 15</w:t>
      </w:r>
      <w:r>
        <w:rPr>
          <w:rStyle w:val="hidden"/>
        </w:rPr>
        <w:t xml:space="preserve"> -</w:t>
      </w:r>
      <w:br/>
      <w:r>
        <w:rPr/>
        <w:t xml:space="preserve">Podmínky pro pověření k provádění akreditace</w:t>
      </w:r>
    </w:p>
    <w:p>
      <w:pPr>
        <w:ind w:left="0" w:right="0"/>
      </w:pPr>
      <w:r>
        <w:rPr>
          <w:b/>
          <w:bCs/>
        </w:rPr>
        <w:t xml:space="preserve">(1)</w:t>
      </w:r>
      <w:r>
        <w:rPr/>
        <w:t xml:space="preserve"> Ministerstvo může svým rozhodnutím pověřit prováděním akreditace právnickou osobu (dále jen „akreditující osoba“). Toto pověření je nepřevoditelné. Po dobu, po kterou je toto rozhodnutí platné, nesmí být touto činností pověřena jiná právnická osoba. Na udělení pověření není právní nárok.</w:t>
      </w:r>
    </w:p>
    <w:p>
      <w:pPr>
        <w:ind w:left="0" w:right="0"/>
      </w:pPr>
      <w:r>
        <w:rPr>
          <w:b/>
          <w:bCs/>
        </w:rPr>
        <w:t xml:space="preserve">(2)</w:t>
      </w:r>
      <w:r>
        <w:rPr/>
        <w:t xml:space="preserve"> Ministerstvo rozhoduje o pověření právnické osoby k provádění akreditace na základě její žádosti. Posuzuje při tom zejména, zdali právnická osoba bude schopna plnit podmínky stanovené tímto zákonem.</w:t>
      </w:r>
    </w:p>
    <w:p>
      <w:pPr>
        <w:ind w:left="0" w:right="0"/>
      </w:pPr>
      <w:r>
        <w:rPr>
          <w:b/>
          <w:bCs/>
        </w:rPr>
        <w:t xml:space="preserve">(3)</w:t>
      </w:r>
      <w:r>
        <w:rPr/>
        <w:t xml:space="preserve"> Neplní-li akreditující osoba povinnosti nebo podmínky stanovené v tomto zákoně nebo v rozhodnutí o pověření nebo pokud o to sama požádá, Ministerstvo rozhodnutí o pověření zruší.</w:t>
      </w:r>
    </w:p>
    <w:p>
      <w:pPr>
        <w:ind w:left="0" w:right="0"/>
      </w:pPr>
      <w:r>
        <w:rPr>
          <w:b/>
          <w:bCs/>
        </w:rPr>
        <w:t xml:space="preserve">(4)</w:t>
      </w:r>
      <w:r>
        <w:rPr/>
        <w:t xml:space="preserve"> Rozhodnutí o pověření akreditující osoby a zrušení tohoto rozhodnutí zveřejní Ministerstvo ve formě sdělení ve Sbírce zákonů České republiky.</w:t>
      </w:r>
    </w:p>
    <w:p>
      <w:pPr>
        <w:ind w:left="0" w:right="0"/>
      </w:pPr>
      <w:r>
        <w:rPr>
          <w:b/>
          <w:bCs/>
        </w:rPr>
        <w:t xml:space="preserve">(5)</w:t>
      </w:r>
      <w:r>
        <w:rPr/>
        <w:t xml:space="preserve"> Náklady, které akreditující osobě vzniknou při činnostech vyplývajících z mezinárodní spolupráce v oblasti akreditace, která má přímý vztah k činnostem podle tohoto zákona, hradí stát.</w:t>
      </w:r>
    </w:p>
    <w:p>
      <w:pPr>
        <w:ind w:left="0" w:right="0"/>
      </w:pPr>
      <w:r>
        <w:rPr>
          <w:b/>
          <w:bCs/>
        </w:rPr>
        <w:t xml:space="preserve">(6)</w:t>
      </w:r>
      <w:r>
        <w:rPr/>
        <w:t xml:space="preserve"> Pokud není provádění akreditace zabezpečeno akreditující osobou, zabezpečuje ji Úřad.</w:t>
      </w:r>
    </w:p>
    <w:p>
      <w:pPr>
        <w:ind w:left="0" w:right="0"/>
      </w:pPr>
      <w:r>
        <w:rPr>
          <w:b/>
          <w:bCs/>
        </w:rPr>
        <w:t xml:space="preserve">(7)</w:t>
      </w:r>
      <w:r>
        <w:rPr/>
        <w:t xml:space="preserve"> Pro udělení pověření k provádění akreditace musí právnická osoba žádající o akreditaci splňovat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nestrannost vzhledem k žadatelům o vydání osvědčení o akreditaci s vyloučením všech vlivů, které by mohly ovlivnit objektivitu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souladu podmínek a postupů posuzování žadatelů s pravidly mezinárodních organizací zabývajících se akreditací uznanými příslušným orgánem České republiky (dále jen „akreditační pravidla“),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povinností vyplývajících z členství v mezinárodních organizacích zabývajících se akreditací uznaných příslušným orgánem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stabilita a zajištění zdrojů potřebných pro správu akreditačního systému,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personální zabezpečení činnosti stálými zaměstnanci.</w:t>
      </w:r>
    </w:p>
    <w:p>
      <w:pPr>
        <w:ind w:left="0" w:right="0"/>
      </w:pPr>
      <w:r>
        <w:rPr>
          <w:b/>
          <w:bCs/>
        </w:rPr>
        <w:t xml:space="preserve">(8)</w:t>
      </w:r>
      <w:r>
        <w:rPr/>
        <w:t xml:space="preserve"> Další podmínky může stanovit Ministerstvo v rozhodnutí o pověření, zejména je-li to nezbytné pro zapojení do mezinárodní spolupráce v oblasti akreditace.</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Akreditující osoba vydá právnické osobě nebo fyzické osobě, která je podnikatelem na její žádost osvědčení o akreditaci. Toto osvědčení vydá, pokud žadatel splňuje akreditační pravidla pro zkoušení výrobků, kalibraci měřidel a certifikační nebo jiné obdobné technické činnosti a nemá žádné obchodní, finanční nebo jiné zájmy nebo vazby, které by mohly ovlivnit jeho nálezy. Osvědčení o akreditaci vymezuje předmět, rozsah a podmínky těchto činností a dobu, na kterou bylo vydáno.</w:t>
      </w:r>
    </w:p>
    <w:p>
      <w:pPr>
        <w:ind w:left="0" w:right="0"/>
      </w:pPr>
      <w:r>
        <w:rPr>
          <w:b/>
          <w:bCs/>
        </w:rPr>
        <w:t xml:space="preserve">(2)</w:t>
      </w:r>
      <w:r>
        <w:rPr/>
        <w:t xml:space="preserve"> Vydaná osvědčení se zveřejňují ve Věstníku Úřadu.</w:t>
      </w:r>
    </w:p>
    <w:p>
      <w:pPr>
        <w:ind w:left="0" w:right="0"/>
      </w:pPr>
      <w:r>
        <w:rPr>
          <w:b/>
          <w:bCs/>
        </w:rPr>
        <w:t xml:space="preserve">(3)</w:t>
      </w:r>
      <w:r>
        <w:rPr/>
        <w:t xml:space="preserve"> Akreditující osoba provádí dozor nad dodržováním akreditačních pravidel. Zjistí-li nedostatky v plnění těchto pravidel, podle závažnosti nedostatků pozastaví účinnost osvědčení nebo je odejme.</w:t>
      </w:r>
    </w:p>
    <w:p>
      <w:pPr>
        <w:pStyle w:val="Heading3"/>
      </w:pPr>
      <w:r>
        <w:rPr>
          <w:b/>
          <w:bCs/>
        </w:rPr>
        <w:t xml:space="preserve">§ 17</w:t>
      </w:r>
      <w:r>
        <w:rPr>
          <w:rStyle w:val="hidden"/>
        </w:rPr>
        <w:t xml:space="preserve"> -</w:t>
      </w:r>
      <w:br/>
      <w:r>
        <w:rPr/>
        <w:t xml:space="preserve">Uznávání zahraničních dokumentů a značek</w:t>
      </w:r>
    </w:p>
    <w:p>
      <w:pPr>
        <w:ind w:left="0" w:right="0"/>
      </w:pPr>
      <w:r>
        <w:rPr>
          <w:b/>
          <w:bCs/>
        </w:rPr>
        <w:t xml:space="preserve">(1)</w:t>
      </w:r>
      <w:r>
        <w:rPr/>
        <w:t xml:space="preserve"> Úřad může obvykle na zásadě vzájemnosti uznávat zahraniční dokumenty (certifikáty, osvědčení apod.) nebo zahraniční značky jako důkaz o posouzení shody nebo zahraniční značku jako českou značku shody podle tohoto zákona, popřípadě jako podklady k posouzení shody, pokud je zabezpečena úroveň oprávněného zájmu odpovídající požadavkům příslušných technických předpisů. Za stejných podmínek může autorizovaná osoba uznat výsledky zkoušek a zjištění provedených v zahraničí.</w:t>
      </w:r>
    </w:p>
    <w:p>
      <w:pPr>
        <w:jc w:val="center"/>
        <w:ind w:left="0" w:right="0"/>
      </w:pPr>
      <w:r>
        <w:rPr>
          <w:b/>
          <w:bCs/>
        </w:rPr>
        <w:t xml:space="preserve">(2)</w:t>
      </w:r>
      <w:r>
        <w:rPr/>
        <w:t xml:space="preserve"> Úřad zveřejňuje skutečnosti podle odstavce 1 věty prvé oznámením publikovaným ve Věstníku Úřadu.</w:t>
      </w:r>
    </w:p>
    <w:p>
      <w:pPr>
        <w:pStyle w:val="Heading2"/>
      </w:pPr>
      <w:r>
        <w:rPr>
          <w:b/>
          <w:bCs/>
        </w:rPr>
        <w:t xml:space="preserve">Hlava IV</w:t>
      </w:r>
      <w:r>
        <w:rPr>
          <w:rStyle w:val="hidden"/>
        </w:rPr>
        <w:t xml:space="preserve"> -</w:t>
      </w:r>
      <w:br/>
      <w:r>
        <w:rPr>
          <w:caps/>
        </w:rPr>
        <w:t xml:space="preserve">Ustanovení společná a přechodná</w:t>
      </w:r>
    </w:p>
    <w:p>
      <w:pPr>
        <w:pStyle w:val="Heading3"/>
      </w:pPr>
      <w:r>
        <w:rPr>
          <w:b/>
          <w:bCs/>
        </w:rPr>
        <w:t xml:space="preserve">§ 18</w:t>
      </w:r>
    </w:p>
    <w:p>
      <w:pPr>
        <w:ind w:left="0" w:right="0"/>
      </w:pPr>
      <w:r>
        <w:rPr/>
        <w:t xml:space="preserve">Dozor nad tím, zda pro stanovené výrobky uváděné na trh bylo vydáno prohlášení o shodě a nebo v případech stanovených v § 13 odst. 4 byl výrobek označen stanoveným způsobem, popřípadě k němu vydán či přiložen stanovený doklad a zda vlastnosti stanovených výrobků uvedených na trh odpovídají stanoveným technickým požadavkům, provádí Česká obchodní inspekce,</w:t>
      </w:r>
      <w:r>
        <w:rPr>
          <w:vertAlign w:val="superscript"/>
        </w:rPr>
        <w:t xml:space="preserve">4</w:t>
      </w:r>
      <w:r>
        <w:rPr/>
        <w:t xml:space="preserve">)</w:t>
      </w:r>
      <w:r>
        <w:rPr/>
        <w:t xml:space="preserve"> popřípadě orgán stanovený zvláštním zákonem (dále jen „orgán dozoru“).</w:t>
      </w:r>
    </w:p>
    <w:p>
      <w:pPr>
        <w:pStyle w:val="Heading3"/>
      </w:pPr>
      <w:r>
        <w:rPr>
          <w:b/>
          <w:bCs/>
        </w:rPr>
        <w:t xml:space="preserve">§ 19</w:t>
      </w:r>
      <w:r>
        <w:rPr>
          <w:rStyle w:val="hidden"/>
        </w:rPr>
        <w:t xml:space="preserve"> -</w:t>
      </w:r>
      <w:br/>
      <w:r>
        <w:rPr/>
        <w:t xml:space="preserve">Pokuty</w:t>
      </w:r>
    </w:p>
    <w:p>
      <w:pPr>
        <w:ind w:left="0" w:right="0"/>
      </w:pPr>
      <w:r>
        <w:rPr>
          <w:b/>
          <w:bCs/>
        </w:rPr>
        <w:t xml:space="preserve">(1)</w:t>
      </w:r>
      <w:r>
        <w:rPr/>
        <w:t xml:space="preserve"> Orgán dozoru uloží pokutu do výše 20 milionů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nebo klamavě užil českou značku shody, certifikát, jiný dokument vydaný autorizovanou osobou v souvislosti s posuzováním shody, nebo prohlášení o shodě nebo kdo je padělal nebo zfalšoval,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uvedl na trh nebo distribuoval stanovené výrobky bez prohlášení o shodě nebo s klamavým nebo neoprávněným prohlášením o shodě nebo bez stanoveného označení českou značkou shody nebo v případech stanovených v § 13 odst. 4 bez označení CE nebo jiného označení stanoveného nařízením vlády nebo s klamavým nebo neoprávněným označením CE nebo jiným označením stanoveným nařízením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nesplnil rozhodnutí o ochranném opatření.</w:t>
      </w:r>
      <w:r>
        <w:rPr>
          <w:vertAlign w:val="superscript"/>
        </w:rPr>
        <w:t xml:space="preserve">5</w:t>
      </w:r>
      <w:r>
        <w:rPr/>
        <w:t xml:space="preserve">)</w:t>
      </w:r>
    </w:p>
    <w:p>
      <w:pPr>
        <w:ind w:left="0" w:right="0"/>
      </w:pPr>
      <w:r>
        <w:rPr>
          <w:b/>
          <w:bCs/>
        </w:rPr>
        <w:t xml:space="preserve">(2)</w:t>
      </w:r>
      <w:r>
        <w:rPr/>
        <w:t xml:space="preserve"> Výrobcům, dovozcům, distributorům nebo jiným osobám stanoveným v nařízeních vlády, kteří neposkytnou orgánu dozoru ve stanovené lhůtě požadované podklady nebo pravdivé informace nebo neumožní jejich prověření nebo nesplnili povinnosti vyplývající z </w:t>
      </w:r>
      <w:r>
        <w:rPr/>
        <w:t xml:space="preserve">§ 13 odst. 8 nebo odst. 9</w:t>
      </w:r>
      <w:r>
        <w:rPr/>
        <w:t xml:space="preserve"> druhá věta nebo jinak ztěžují postup řízení, může uložit orgán dozoru pokutu do výše 1 milionu Kč.</w:t>
      </w:r>
    </w:p>
    <w:p>
      <w:pPr>
        <w:ind w:left="0" w:right="0"/>
      </w:pPr>
      <w:r>
        <w:rPr>
          <w:b/>
          <w:bCs/>
        </w:rPr>
        <w:t xml:space="preserve">(3)</w:t>
      </w:r>
      <w:r>
        <w:rPr/>
        <w:t xml:space="preserve"> Úřad na základě podnětu, který obdrží, nebo na základě vlastního zjištění, uloží pokutu do výše 1 milionu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označil dokument značkou ČSN,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neoprávněně rozmnožil nebo rozšířil normu,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neoprávněně vystupoval jako akreditující osoba nebo jako autorizovaná osoba nebo jako osoba, které bylo vydáno osvědčení o akreditaci,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vydal osvědčení o akreditaci nebo certifikát, nebo jiný dokument vydávaný autorizovanou osobou v souvislosti s posuzováním shody.</w:t>
      </w:r>
    </w:p>
    <w:p>
      <w:pPr>
        <w:ind w:left="0" w:right="0"/>
      </w:pPr>
      <w:r>
        <w:rPr>
          <w:b/>
          <w:bCs/>
        </w:rPr>
        <w:t xml:space="preserve">(4)</w:t>
      </w:r>
      <w:r>
        <w:rPr/>
        <w:t xml:space="preserve"> Při ukládání pokut se přihlíží zejména k závažnosti, způsobu, době trvání a následkům protiprávního jednání.</w:t>
      </w:r>
    </w:p>
    <w:p>
      <w:pPr>
        <w:ind w:left="0" w:right="0"/>
      </w:pPr>
      <w:r>
        <w:rPr>
          <w:b/>
          <w:bCs/>
        </w:rPr>
        <w:t xml:space="preserve">(5)</w:t>
      </w:r>
      <w:r>
        <w:rPr/>
        <w:t xml:space="preserve"> Pokutu lze uložit do jednoho roku ode dne, kdy se orgán oprávněný k uložení pokuty dozvěděl o porušení povinností, nejpozději však do pěti let ode dne, kdy k porušení takové povinnosti došlo.</w:t>
      </w:r>
    </w:p>
    <w:p>
      <w:pPr>
        <w:ind w:left="0" w:right="0"/>
      </w:pPr>
      <w:r>
        <w:rPr>
          <w:b/>
          <w:bCs/>
        </w:rPr>
        <w:t xml:space="preserve">(6)</w:t>
      </w:r>
      <w:r>
        <w:rPr/>
        <w:t xml:space="preserve"> Pokuta je splatná do 30 dnů od nabytí právní moci rozhodnutí o uložení pokuty.</w:t>
      </w:r>
    </w:p>
    <w:p>
      <w:pPr>
        <w:ind w:left="0" w:right="0"/>
      </w:pPr>
      <w:r>
        <w:rPr>
          <w:b/>
          <w:bCs/>
        </w:rPr>
        <w:t xml:space="preserve">(7)</w:t>
      </w:r>
      <w:r>
        <w:rPr/>
        <w:t xml:space="preserve"> Pokuty vybírá a vymáhá podle zákona o správě daní a poplatků</w:t>
      </w:r>
      <w:r>
        <w:rPr>
          <w:vertAlign w:val="superscript"/>
        </w:rPr>
        <w:t xml:space="preserve">6</w:t>
      </w:r>
      <w:r>
        <w:rPr/>
        <w:t xml:space="preserve">)</w:t>
      </w:r>
      <w:r>
        <w:rPr/>
        <w:t xml:space="preserve"> orgán, který je uložil.</w:t>
      </w:r>
    </w:p>
    <w:p>
      <w:pPr>
        <w:ind w:left="0" w:right="0"/>
      </w:pPr>
      <w:r>
        <w:rPr>
          <w:b/>
          <w:bCs/>
        </w:rPr>
        <w:t xml:space="preserve">(8)</w:t>
      </w:r>
      <w:r>
        <w:rPr/>
        <w:t xml:space="preserve"> Výnos pokut uložených podle tohoto zákona je příjmem státního rozpočtu.</w:t>
      </w:r>
    </w:p>
    <w:p>
      <w:pPr>
        <w:ind w:left="0" w:right="0"/>
      </w:pPr>
      <w:r>
        <w:rPr>
          <w:b/>
          <w:bCs/>
        </w:rPr>
        <w:t xml:space="preserve">(9)</w:t>
      </w:r>
      <w:r>
        <w:rPr/>
        <w:t xml:space="preserve"> Uložením pokuty není dotčena povinnost k náhradě škody.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9" w:history="1">
        <w:r>
          <w:rPr>
            <w:color w:val="darkblue"/>
            <w:u w:val="single"/>
          </w:rPr>
          <w:t xml:space="preserve">142/1991 Sb.</w:t>
        </w:r>
      </w:hyperlink>
      <w:r>
        <w:rPr/>
        <w:t xml:space="preserve">, ve znění zákona č. </w:t>
      </w:r>
      <w:hyperlink r:id="rId10"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1"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 7 odst. 4, § 11 odst. 2, § 11a odst. 2, </w:t>
      </w:r>
      <w:r>
        <w:rPr/>
        <w:t xml:space="preserve">§ 12 a 13</w:t>
      </w:r>
      <w:r>
        <w:rPr/>
        <w:t xml:space="preserve">.</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2" w:history="1">
        <w:r>
          <w:rPr>
            <w:color w:val="darkblue"/>
            <w:u w:val="single"/>
          </w:rPr>
          <w:t xml:space="preserve">64/1986 Sb.</w:t>
        </w:r>
      </w:hyperlink>
      <w:r>
        <w:rPr/>
        <w:t xml:space="preserve">, o České obchodní inspekci, ve znění zákona České národní rady č. </w:t>
      </w:r>
      <w:hyperlink r:id="rId13"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0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9"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1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4" w:history="1">
        <w:r>
          <w:rPr>
            <w:color w:val="darkblue"/>
            <w:u w:val="single"/>
          </w:rPr>
          <w:t xml:space="preserve">526/1990 Sb.</w:t>
        </w:r>
      </w:hyperlink>
      <w:r>
        <w:rPr>
          <w:sz w:val="19.200000000000003"/>
          <w:szCs w:val="19.200000000000003"/>
        </w:rPr>
        <w:t xml:space="preserve">, o cenách, ve znění zákona č. </w:t>
      </w:r>
      <w:hyperlink r:id="rId15"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6"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24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8"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19" w:history="1">
        <w:r>
          <w:rPr>
            <w:color w:val="darkblue"/>
            <w:u w:val="single"/>
          </w:rPr>
          <w:t xml:space="preserve">§ 4</w:t>
        </w:r>
      </w:hyperlink>
      <w:r>
        <w:rPr>
          <w:sz w:val="19.200000000000003"/>
          <w:szCs w:val="19.200000000000003"/>
        </w:rPr>
        <w:t xml:space="preserve"> odst. 1 zákona č. </w:t>
      </w:r>
      <w:hyperlink r:id="rId18"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0" w:history="1">
        <w:r>
          <w:rPr>
            <w:color w:val="darkblue"/>
            <w:u w:val="single"/>
          </w:rPr>
          <w:t xml:space="preserve">§ 14</w:t>
        </w:r>
      </w:hyperlink>
      <w:r>
        <w:rPr>
          <w:sz w:val="19.200000000000003"/>
          <w:szCs w:val="19.200000000000003"/>
        </w:rPr>
        <w:t xml:space="preserve"> a </w:t>
      </w:r>
      <w:hyperlink r:id="rId21" w:history="1">
        <w:r>
          <w:rPr>
            <w:color w:val="darkblue"/>
            <w:u w:val="single"/>
          </w:rPr>
          <w:t xml:space="preserve">15</w:t>
        </w:r>
      </w:hyperlink>
      <w:r>
        <w:rPr>
          <w:sz w:val="19.200000000000003"/>
          <w:szCs w:val="19.200000000000003"/>
        </w:rPr>
        <w:t xml:space="preserve"> zákona č. </w:t>
      </w:r>
      <w:hyperlink r:id="rId18"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25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2" w:history="1">
        <w:r>
          <w:rPr>
            <w:color w:val="darkblue"/>
            <w:u w:val="single"/>
          </w:rPr>
          <w:t xml:space="preserve">§ 13</w:t>
        </w:r>
      </w:hyperlink>
      <w:r>
        <w:rPr>
          <w:sz w:val="19.200000000000003"/>
          <w:szCs w:val="19.200000000000003"/>
        </w:rPr>
        <w:t xml:space="preserve"> odst. 2 písm. c), </w:t>
      </w:r>
      <w:hyperlink r:id="rId23" w:history="1">
        <w:r>
          <w:rPr>
            <w:color w:val="darkblue"/>
            <w:u w:val="single"/>
          </w:rPr>
          <w:t xml:space="preserve">§ 16</w:t>
        </w:r>
      </w:hyperlink>
      <w:r>
        <w:rPr>
          <w:sz w:val="19.200000000000003"/>
          <w:szCs w:val="19.200000000000003"/>
        </w:rPr>
        <w:t xml:space="preserve">, </w:t>
      </w:r>
      <w:hyperlink r:id="rId24" w:history="1">
        <w:r>
          <w:rPr>
            <w:color w:val="darkblue"/>
            <w:u w:val="single"/>
          </w:rPr>
          <w:t xml:space="preserve">20</w:t>
        </w:r>
      </w:hyperlink>
      <w:r>
        <w:rPr>
          <w:sz w:val="19.200000000000003"/>
          <w:szCs w:val="19.200000000000003"/>
        </w:rPr>
        <w:t xml:space="preserve"> a </w:t>
      </w:r>
      <w:hyperlink r:id="rId25" w:history="1">
        <w:r>
          <w:rPr>
            <w:color w:val="darkblue"/>
            <w:u w:val="single"/>
          </w:rPr>
          <w:t xml:space="preserve">21</w:t>
        </w:r>
      </w:hyperlink>
      <w:r>
        <w:rPr>
          <w:sz w:val="19.200000000000003"/>
          <w:szCs w:val="19.200000000000003"/>
        </w:rPr>
        <w:t xml:space="preserve"> zákona č. </w:t>
      </w:r>
      <w:hyperlink r:id="rId18"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1" w:history="1">
        <w:r>
          <w:rPr>
            <w:color w:val="darkblue"/>
            <w:u w:val="single"/>
          </w:rPr>
          <w:t xml:space="preserve">30/1968 Sb.</w:t>
        </w:r>
      </w:hyperlink>
      <w:r>
        <w:rPr/>
        <w:t xml:space="preserve">, o státním zkušebnictví, ve znění zákona č. </w:t>
      </w:r>
      <w:hyperlink r:id="rId26" w:history="1">
        <w:r>
          <w:rPr>
            <w:color w:val="darkblue"/>
            <w:u w:val="single"/>
          </w:rPr>
          <w:t xml:space="preserve">54/1987 Sb.</w:t>
        </w:r>
      </w:hyperlink>
      <w:r>
        <w:rPr/>
        <w:t xml:space="preserve">, zákona č. </w:t>
      </w:r>
      <w:hyperlink r:id="rId27" w:history="1">
        <w:r>
          <w:rPr>
            <w:color w:val="darkblue"/>
            <w:u w:val="single"/>
          </w:rPr>
          <w:t xml:space="preserve">194/1988 Sb.</w:t>
        </w:r>
      </w:hyperlink>
      <w:r>
        <w:rPr/>
        <w:t xml:space="preserve">, zákona č. </w:t>
      </w:r>
      <w:hyperlink r:id="rId28" w:history="1">
        <w:r>
          <w:rPr>
            <w:color w:val="darkblue"/>
            <w:u w:val="single"/>
          </w:rPr>
          <w:t xml:space="preserve">479/1992 Sb.</w:t>
        </w:r>
      </w:hyperlink>
      <w:r>
        <w:rPr/>
        <w:t xml:space="preserve"> a zákona č. </w:t>
      </w:r>
      <w:hyperlink r:id="rId29"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142/1991 Sb.</w:t>
        </w:r>
      </w:hyperlink>
      <w:r>
        <w:rPr/>
        <w:t xml:space="preserve">, o československých technických normách, ve znění zákona č. </w:t>
      </w:r>
      <w:hyperlink r:id="rId10"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0"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1" w:history="1">
        <w:r>
          <w:rPr>
            <w:color w:val="darkblue"/>
            <w:u w:val="single"/>
          </w:rPr>
          <w:t xml:space="preserve">101/1988 Sb.</w:t>
        </w:r>
      </w:hyperlink>
      <w:r>
        <w:rPr/>
        <w:t xml:space="preserve">, o certifikaci výrobků, ve znění vyhlášky č. </w:t>
      </w:r>
      <w:hyperlink r:id="rId32"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3" w:history="1">
        <w:r>
          <w:rPr>
            <w:color w:val="darkblue"/>
            <w:u w:val="single"/>
          </w:rPr>
          <w:t xml:space="preserve">585/1992 Sb.</w:t>
        </w:r>
      </w:hyperlink>
      <w:r>
        <w:rPr/>
        <w:t xml:space="preserve">, kterou se provádí zákon č. </w:t>
      </w:r>
      <w:hyperlink r:id="rId11" w:history="1">
        <w:r>
          <w:rPr>
            <w:color w:val="darkblue"/>
            <w:u w:val="single"/>
          </w:rPr>
          <w:t xml:space="preserve">30/1968 Sb.</w:t>
        </w:r>
      </w:hyperlink>
      <w:r>
        <w:rPr/>
        <w:t xml:space="preserve">, o státním zkušebnictví, ve znění vyhlášky č. </w:t>
      </w:r>
      <w:hyperlink r:id="rId34"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27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5" w:history="1">
        <w:r>
          <w:rPr>
            <w:color w:val="darkblue"/>
            <w:u w:val="single"/>
          </w:rPr>
          <w:t xml:space="preserve">§ 7a</w:t>
        </w:r>
      </w:hyperlink>
      <w:r>
        <w:rPr>
          <w:sz w:val="19.200000000000003"/>
          <w:szCs w:val="19.200000000000003"/>
        </w:rPr>
        <w:t xml:space="preserve"> zákona č. </w:t>
      </w:r>
      <w:hyperlink r:id="rId12"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4" w:history="1">
        <w:r>
          <w:rPr>
            <w:color w:val="darkblue"/>
            <w:u w:val="single"/>
          </w:rPr>
          <w:t xml:space="preserve">526/1990 Sb.</w:t>
        </w:r>
      </w:hyperlink>
      <w:r>
        <w:rPr>
          <w:sz w:val="19.200000000000003"/>
          <w:szCs w:val="19.200000000000003"/>
        </w:rPr>
        <w:t xml:space="preserve">, o cenách, ve znění zákona č. </w:t>
      </w:r>
      <w:hyperlink r:id="rId15"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 w:history="1">
        <w:r>
          <w:rPr>
            <w:color w:val="darkblue"/>
            <w:u w:val="single"/>
          </w:rPr>
          <w:t xml:space="preserve">64/1986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7a zákona ČNR č. </w:t>
      </w:r>
      <w:hyperlink r:id="rId12" w:history="1">
        <w:r>
          <w:rPr>
            <w:color w:val="darkblue"/>
            <w:u w:val="single"/>
          </w:rPr>
          <w:t xml:space="preserve">64/1986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ČNR č. </w:t>
      </w:r>
      <w:hyperlink r:id="rId3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 w:history="1">
        <w:r>
          <w:rPr>
            <w:color w:val="darkblue"/>
            <w:u w:val="single"/>
          </w:rPr>
          <w:t xml:space="preserve">71/1967 Sb.</w:t>
        </w:r>
      </w:hyperlink>
      <w:r>
        <w:rPr>
          <w:sz w:val="19.200000000000003"/>
          <w:szCs w:val="19.200000000000003"/>
        </w:rPr>
        <w:t xml:space="preserve">, o správním řízení (správní řád).</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sectPr>
      <w:headerReference w:type="default" r:id="rId37"/>
      <w:footerReference w:type="default" r:id="rId3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102/2001 Sb. z </w:t>
          </w:r>
          <w:r>
            <w:rPr>
              <w:rStyle w:val="bold"/>
            </w:rPr>
            <w:t xml:space="preserve">1. 7. 2001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1991s142" TargetMode="External"/><Relationship Id="rId10" Type="http://schemas.openxmlformats.org/officeDocument/2006/relationships/hyperlink" Target="https://esipa.cz/sbirka/sbsrv.dll/sb?DR=SB&amp;CP=1992s632" TargetMode="External"/><Relationship Id="rId11" Type="http://schemas.openxmlformats.org/officeDocument/2006/relationships/hyperlink" Target="https://esipa.cz/sbirka/sbsrv.dll/sb?DR=SB&amp;CP=1968s030" TargetMode="External"/><Relationship Id="rId12" Type="http://schemas.openxmlformats.org/officeDocument/2006/relationships/hyperlink" Target="https://esipa.cz/sbirka/sbsrv.dll/sb?DR=SB&amp;CP=1986s064" TargetMode="External"/><Relationship Id="rId13" Type="http://schemas.openxmlformats.org/officeDocument/2006/relationships/hyperlink" Target="https://esipa.cz/sbirka/sbsrv.dll/sb?DR=SB&amp;CP=1992s240" TargetMode="External"/><Relationship Id="rId14" Type="http://schemas.openxmlformats.org/officeDocument/2006/relationships/hyperlink" Target="https://esipa.cz/sbirka/sbsrv.dll/sb?DR=SB&amp;CP=1990s526" TargetMode="External"/><Relationship Id="rId15" Type="http://schemas.openxmlformats.org/officeDocument/2006/relationships/hyperlink" Target="https://esipa.cz/sbirka/sbsrv.dll/sb?DR=SB&amp;CP=1994s135" TargetMode="External"/><Relationship Id="rId16" Type="http://schemas.openxmlformats.org/officeDocument/2006/relationships/hyperlink" Target="https://esipa.cz/sbirka/sbsrv.dll/sb?DR=SB&amp;CP=1993s020" TargetMode="External"/><Relationship Id="rId17" Type="http://schemas.openxmlformats.org/officeDocument/2006/relationships/hyperlink" Target="https://esipa.cz/sbirka/sbsrv.dll/sb?DR=SB&amp;CP=1967s071" TargetMode="External"/><Relationship Id="rId18" Type="http://schemas.openxmlformats.org/officeDocument/2006/relationships/hyperlink" Target="https://esipa.cz/sbirka/sbsrv.dll/sb?DR=SB&amp;CP=1990s505" TargetMode="External"/><Relationship Id="rId19" Type="http://schemas.openxmlformats.org/officeDocument/2006/relationships/hyperlink" Target="https://esipa.cz/sbirka/sbsrv.dll/sb?DR=SB&amp;CP=1990s505#C01_P004" TargetMode="External"/><Relationship Id="rId20" Type="http://schemas.openxmlformats.org/officeDocument/2006/relationships/hyperlink" Target="https://esipa.cz/sbirka/sbsrv.dll/sb?DR=SB&amp;CP=1990s505#C05_P014" TargetMode="External"/><Relationship Id="rId21" Type="http://schemas.openxmlformats.org/officeDocument/2006/relationships/hyperlink" Target="https://esipa.cz/sbirka/sbsrv.dll/sb?DR=SB&amp;CP=1990s505#C05_P015" TargetMode="External"/><Relationship Id="rId22" Type="http://schemas.openxmlformats.org/officeDocument/2006/relationships/hyperlink" Target="https://esipa.cz/sbirka/sbsrv.dll/sb?DR=SB&amp;CP=1990s505#C05_P013" TargetMode="External"/><Relationship Id="rId23" Type="http://schemas.openxmlformats.org/officeDocument/2006/relationships/hyperlink" Target="https://esipa.cz/sbirka/sbsrv.dll/sb?DR=SB&amp;CP=1990s505#C05_P016" TargetMode="External"/><Relationship Id="rId24" Type="http://schemas.openxmlformats.org/officeDocument/2006/relationships/hyperlink" Target="https://esipa.cz/sbirka/sbsrv.dll/sb?DR=SB&amp;CP=1990s505#C05_P020" TargetMode="External"/><Relationship Id="rId25" Type="http://schemas.openxmlformats.org/officeDocument/2006/relationships/hyperlink" Target="https://esipa.cz/sbirka/sbsrv.dll/sb?DR=SB&amp;CP=1990s505#C05_P021" TargetMode="External"/><Relationship Id="rId26" Type="http://schemas.openxmlformats.org/officeDocument/2006/relationships/hyperlink" Target="https://esipa.cz/sbirka/sbsrv.dll/sb?DR=SB&amp;CP=1987s054" TargetMode="External"/><Relationship Id="rId27" Type="http://schemas.openxmlformats.org/officeDocument/2006/relationships/hyperlink" Target="https://esipa.cz/sbirka/sbsrv.dll/sb?DR=SB&amp;CP=1988s194" TargetMode="External"/><Relationship Id="rId28" Type="http://schemas.openxmlformats.org/officeDocument/2006/relationships/hyperlink" Target="https://esipa.cz/sbirka/sbsrv.dll/sb?DR=SB&amp;CP=1992s479" TargetMode="External"/><Relationship Id="rId29" Type="http://schemas.openxmlformats.org/officeDocument/2006/relationships/hyperlink" Target="https://esipa.cz/sbirka/sbsrv.dll/sb?DR=SB&amp;CP=1992s539" TargetMode="External"/><Relationship Id="rId30" Type="http://schemas.openxmlformats.org/officeDocument/2006/relationships/hyperlink" Target="https://esipa.cz/sbirka/sbsrv.dll/sb?DR=SB&amp;CP=1984s104" TargetMode="External"/><Relationship Id="rId31" Type="http://schemas.openxmlformats.org/officeDocument/2006/relationships/hyperlink" Target="https://esipa.cz/sbirka/sbsrv.dll/sb?DR=SB&amp;CP=1988s101" TargetMode="External"/><Relationship Id="rId32" Type="http://schemas.openxmlformats.org/officeDocument/2006/relationships/hyperlink" Target="https://esipa.cz/sbirka/sbsrv.dll/sb?DR=SB&amp;CP=1993s233" TargetMode="External"/><Relationship Id="rId33" Type="http://schemas.openxmlformats.org/officeDocument/2006/relationships/hyperlink" Target="https://esipa.cz/sbirka/sbsrv.dll/sb?DR=SB&amp;CP=1992s585" TargetMode="External"/><Relationship Id="rId34" Type="http://schemas.openxmlformats.org/officeDocument/2006/relationships/hyperlink" Target="https://esipa.cz/sbirka/sbsrv.dll/sb?DR=SB&amp;CP=1993s232" TargetMode="External"/><Relationship Id="rId35" Type="http://schemas.openxmlformats.org/officeDocument/2006/relationships/hyperlink" Target="https://esipa.cz/sbirka/sbsrv.dll/sb?DR=AZ&amp;CP=1986s064-2000s071#P007A" TargetMode="External"/><Relationship Id="rId36" Type="http://schemas.openxmlformats.org/officeDocument/2006/relationships/hyperlink" Target="https://esipa.cz/sbirka/sbsrv.dll/sb?DR=SB&amp;CP=1992s337" TargetMode="External"/><Relationship Id="rId37" Type="http://schemas.openxmlformats.org/officeDocument/2006/relationships/header" Target="header1.xm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102/2001 Sb. z 1. 7. 2001</dc:title>
  <dc:description>Zákon o technických požadavcích na výrobky a o změně a doplnění některých zákonů</dc:description>
  <dc:subject/>
  <cp:keywords/>
  <cp:category/>
  <cp:lastModifiedBy/>
  <dcterms:created xsi:type="dcterms:W3CDTF">2001-07-01T00:00:00+02:00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